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D3" w:rsidRPr="002828D3" w:rsidRDefault="002828D3" w:rsidP="002828D3">
      <w:pPr>
        <w:spacing w:line="240" w:lineRule="auto"/>
        <w:contextualSpacing/>
        <w:rPr>
          <w:sz w:val="24"/>
          <w:szCs w:val="24"/>
        </w:rPr>
      </w:pPr>
    </w:p>
    <w:p w:rsidR="002828D3" w:rsidRDefault="002828D3" w:rsidP="002828D3">
      <w:pPr>
        <w:spacing w:line="360" w:lineRule="auto"/>
        <w:rPr>
          <w:rFonts w:cs="Times New Roman"/>
          <w:sz w:val="24"/>
          <w:szCs w:val="24"/>
        </w:rPr>
      </w:pPr>
      <w:r w:rsidRPr="002828D3">
        <w:rPr>
          <w:rFonts w:cs="Times New Roman"/>
          <w:b/>
          <w:sz w:val="24"/>
          <w:szCs w:val="24"/>
        </w:rPr>
        <w:t xml:space="preserve">Purpose </w:t>
      </w:r>
    </w:p>
    <w:p w:rsidR="002828D3" w:rsidRPr="002828D3" w:rsidRDefault="002828D3" w:rsidP="002828D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177F3">
        <w:rPr>
          <w:rFonts w:cs="Times New Roman"/>
          <w:sz w:val="24"/>
          <w:szCs w:val="24"/>
        </w:rPr>
        <w:t xml:space="preserve">The following Investment Policy Statement is a tool that Boston Holdings, LLC will utilize to manage the investing activities of </w:t>
      </w:r>
      <w:r w:rsidR="00CD7420">
        <w:rPr>
          <w:rFonts w:cs="Times New Roman"/>
          <w:sz w:val="24"/>
          <w:szCs w:val="24"/>
        </w:rPr>
        <w:t>Investor A</w:t>
      </w:r>
      <w:r w:rsidR="004177F3">
        <w:rPr>
          <w:rFonts w:cs="Times New Roman"/>
          <w:sz w:val="24"/>
          <w:szCs w:val="24"/>
        </w:rPr>
        <w:t xml:space="preserve">.  Boston Holdings, LLC will </w:t>
      </w:r>
      <w:r w:rsidR="00A90507">
        <w:rPr>
          <w:rFonts w:cs="Times New Roman"/>
          <w:sz w:val="24"/>
          <w:szCs w:val="24"/>
        </w:rPr>
        <w:t xml:space="preserve">recommend </w:t>
      </w:r>
      <w:r w:rsidR="004177F3">
        <w:rPr>
          <w:rFonts w:cs="Times New Roman"/>
          <w:sz w:val="24"/>
          <w:szCs w:val="24"/>
        </w:rPr>
        <w:t>stocks, bonds, and other assets</w:t>
      </w:r>
      <w:r w:rsidR="00A90507">
        <w:rPr>
          <w:rFonts w:cs="Times New Roman"/>
          <w:sz w:val="24"/>
          <w:szCs w:val="24"/>
        </w:rPr>
        <w:t xml:space="preserve"> suitable towards </w:t>
      </w:r>
      <w:r w:rsidR="00CD7420">
        <w:rPr>
          <w:rFonts w:cs="Times New Roman"/>
          <w:sz w:val="24"/>
          <w:szCs w:val="24"/>
        </w:rPr>
        <w:t>Investor A</w:t>
      </w:r>
      <w:r w:rsidR="00A90507">
        <w:rPr>
          <w:rFonts w:cs="Times New Roman"/>
          <w:sz w:val="24"/>
          <w:szCs w:val="24"/>
        </w:rPr>
        <w:t xml:space="preserve">’s long term retirement goals.  In doing so, it will be </w:t>
      </w:r>
      <w:r w:rsidR="00CD7420">
        <w:rPr>
          <w:rFonts w:cs="Times New Roman"/>
          <w:sz w:val="24"/>
          <w:szCs w:val="24"/>
        </w:rPr>
        <w:t>Investor A</w:t>
      </w:r>
      <w:r w:rsidR="00A90507">
        <w:rPr>
          <w:rFonts w:cs="Times New Roman"/>
          <w:sz w:val="24"/>
          <w:szCs w:val="24"/>
        </w:rPr>
        <w:t>’s responsibility to evaluate said portfolio on a yearly basis to ensure that activities are within reason to the investment strategies suggested by Boston Holdings, LLC.</w:t>
      </w:r>
    </w:p>
    <w:p w:rsidR="002828D3" w:rsidRDefault="002828D3" w:rsidP="002828D3">
      <w:pPr>
        <w:spacing w:line="360" w:lineRule="auto"/>
        <w:rPr>
          <w:rFonts w:cs="Times New Roman"/>
          <w:sz w:val="24"/>
          <w:szCs w:val="24"/>
        </w:rPr>
      </w:pPr>
      <w:r w:rsidRPr="002828D3">
        <w:rPr>
          <w:rFonts w:cs="Times New Roman"/>
          <w:b/>
          <w:sz w:val="24"/>
          <w:szCs w:val="24"/>
        </w:rPr>
        <w:t>Asset Allocation</w:t>
      </w:r>
      <w:bookmarkStart w:id="0" w:name="_GoBack"/>
      <w:bookmarkEnd w:id="0"/>
    </w:p>
    <w:p w:rsidR="00AC62F0" w:rsidRPr="00AC62F0" w:rsidRDefault="00AC62F0" w:rsidP="00AC62F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For asset allocation, roughly 10% is kept as cash to meet any financial emergencies that may occur.  The remaining 90% is allocated into small cap ETFs, mid cap ETF’s, S&amp;P 500 Index ETFs, and inverse ETF’s.  Overall, the portfolio strategy is aggressive based on </w:t>
      </w:r>
      <w:r w:rsidR="00CD7420">
        <w:rPr>
          <w:rFonts w:cs="Times New Roman"/>
          <w:sz w:val="24"/>
          <w:szCs w:val="24"/>
        </w:rPr>
        <w:t>Investor A</w:t>
      </w:r>
      <w:r>
        <w:rPr>
          <w:rFonts w:cs="Times New Roman"/>
          <w:sz w:val="24"/>
          <w:szCs w:val="24"/>
        </w:rPr>
        <w:t>’s individual needs for long term gains.  The plan is to invest greater than 10 years so there is a comfort level with the high level of risk involved.</w:t>
      </w:r>
    </w:p>
    <w:p w:rsidR="002828D3" w:rsidRPr="002828D3" w:rsidRDefault="00A90507" w:rsidP="002828D3">
      <w:pPr>
        <w:spacing w:line="360" w:lineRule="auto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5D84C5" wp14:editId="3FB194F6">
            <wp:extent cx="5591175" cy="1847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D3" w:rsidRDefault="008D6C4C" w:rsidP="008D6C4C">
      <w:pPr>
        <w:spacing w:line="240" w:lineRule="auto"/>
      </w:pPr>
      <w:r>
        <w:rPr>
          <w:sz w:val="24"/>
          <w:szCs w:val="24"/>
        </w:rPr>
        <w:t>Initially, allocation appears geared toward large-cap companies with a high dosage of investments in technology.  Depending on fluctuations in the market place, Boston Holdings, LLC will suggest diversifying the portfolio further by increasing investments in small and mid-cap companies.</w:t>
      </w:r>
    </w:p>
    <w:p w:rsidR="00453D02" w:rsidRDefault="002828D3">
      <w:r>
        <w:rPr>
          <w:noProof/>
        </w:rPr>
        <w:lastRenderedPageBreak/>
        <w:drawing>
          <wp:inline distT="0" distB="0" distL="0" distR="0" wp14:anchorId="14452283" wp14:editId="4B32060E">
            <wp:extent cx="5943600" cy="4946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D3" w:rsidRDefault="002828D3"/>
    <w:p w:rsidR="002828D3" w:rsidRDefault="002828D3">
      <w:r>
        <w:rPr>
          <w:noProof/>
        </w:rPr>
        <w:lastRenderedPageBreak/>
        <w:drawing>
          <wp:inline distT="0" distB="0" distL="0" distR="0" wp14:anchorId="5FEC041F" wp14:editId="144CA0D6">
            <wp:extent cx="5943600" cy="623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D3"/>
    <w:rsid w:val="002828D3"/>
    <w:rsid w:val="004177F3"/>
    <w:rsid w:val="00453D02"/>
    <w:rsid w:val="007E09AC"/>
    <w:rsid w:val="008D6C4C"/>
    <w:rsid w:val="00A90507"/>
    <w:rsid w:val="00AC62F0"/>
    <w:rsid w:val="00C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Shawntelle Boston</dc:creator>
  <cp:lastModifiedBy>Shawntelle Boston</cp:lastModifiedBy>
  <cp:revision>2</cp:revision>
  <dcterms:created xsi:type="dcterms:W3CDTF">2014-04-27T05:18:00Z</dcterms:created>
  <dcterms:modified xsi:type="dcterms:W3CDTF">2014-04-27T05:18:00Z</dcterms:modified>
</cp:coreProperties>
</file>