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D2" w:rsidRDefault="001F6A6D">
      <w:pPr>
        <w:rPr>
          <w:rFonts w:ascii="Times New Roman" w:hAnsi="Times New Roman" w:cs="Times New Roman"/>
          <w:sz w:val="24"/>
          <w:szCs w:val="24"/>
        </w:rPr>
      </w:pPr>
      <w:r w:rsidRPr="00E751D8">
        <w:rPr>
          <w:rFonts w:ascii="Times New Roman" w:hAnsi="Times New Roman" w:cs="Times New Roman"/>
          <w:sz w:val="24"/>
          <w:szCs w:val="24"/>
          <w:u w:val="single"/>
        </w:rPr>
        <w:t>Following</w:t>
      </w:r>
      <w:r>
        <w:rPr>
          <w:rFonts w:ascii="Times New Roman" w:hAnsi="Times New Roman" w:cs="Times New Roman"/>
          <w:sz w:val="24"/>
          <w:szCs w:val="24"/>
        </w:rPr>
        <w:t xml:space="preserve"> are the common-size balance sheets from companies: Pfizer, Inc., a global research –driven pharmaceutical company; JC Penney, national retailer; Time Warner, a global media and </w:t>
      </w:r>
      <w:r w:rsidR="00AB0B18">
        <w:rPr>
          <w:rFonts w:ascii="Times New Roman" w:hAnsi="Times New Roman" w:cs="Times New Roman"/>
          <w:sz w:val="24"/>
          <w:szCs w:val="24"/>
        </w:rPr>
        <w:t>Entertainment Company</w:t>
      </w:r>
      <w:r>
        <w:rPr>
          <w:rFonts w:ascii="Times New Roman" w:hAnsi="Times New Roman" w:cs="Times New Roman"/>
          <w:sz w:val="24"/>
          <w:szCs w:val="24"/>
        </w:rPr>
        <w:t>; and Duke Energ</w:t>
      </w:r>
      <w:r w:rsidR="00AB0B18">
        <w:rPr>
          <w:rFonts w:ascii="Times New Roman" w:hAnsi="Times New Roman" w:cs="Times New Roman"/>
          <w:sz w:val="24"/>
          <w:szCs w:val="24"/>
        </w:rPr>
        <w:t>y</w:t>
      </w:r>
      <w:r>
        <w:rPr>
          <w:rFonts w:ascii="Times New Roman" w:hAnsi="Times New Roman" w:cs="Times New Roman"/>
          <w:sz w:val="24"/>
          <w:szCs w:val="24"/>
        </w:rPr>
        <w:t>, a leading energy company focused on electric power and gas distribution.</w:t>
      </w:r>
    </w:p>
    <w:p w:rsidR="007A20C5" w:rsidRPr="00AB0B18" w:rsidRDefault="001F6A6D" w:rsidP="00AB0B18">
      <w:pPr>
        <w:rPr>
          <w:rFonts w:ascii="Times New Roman" w:hAnsi="Times New Roman" w:cs="Times New Roman"/>
          <w:sz w:val="20"/>
          <w:szCs w:val="20"/>
          <w:u w:val="single"/>
        </w:rPr>
      </w:pPr>
      <w:r>
        <w:rPr>
          <w:rFonts w:ascii="Times New Roman" w:hAnsi="Times New Roman" w:cs="Times New Roman"/>
          <w:sz w:val="24"/>
          <w:szCs w:val="24"/>
        </w:rPr>
        <w:t>Based on your general business knowledge, the environments in which the above firms operate, and information derive from the balance sheet analysis, match the company with its respective balance sheet.  Explain each the choices that you made.</w:t>
      </w:r>
      <w:r w:rsidR="00AB0B18">
        <w:rPr>
          <w:rFonts w:ascii="Times New Roman" w:hAnsi="Times New Roman" w:cs="Times New Roman"/>
          <w:sz w:val="24"/>
          <w:szCs w:val="24"/>
        </w:rPr>
        <w:t xml:space="preserve">  </w:t>
      </w:r>
      <w:r w:rsidR="007A20C5">
        <w:rPr>
          <w:rFonts w:ascii="Times New Roman" w:hAnsi="Times New Roman" w:cs="Times New Roman"/>
          <w:sz w:val="24"/>
          <w:szCs w:val="24"/>
        </w:rPr>
        <w:t>Common-Size Balance Sheet Comparisons</w:t>
      </w:r>
      <w:r w:rsidR="00AB0B18">
        <w:rPr>
          <w:rFonts w:ascii="Times New Roman" w:hAnsi="Times New Roman" w:cs="Times New Roman"/>
          <w:sz w:val="24"/>
          <w:szCs w:val="24"/>
        </w:rPr>
        <w:tab/>
      </w:r>
      <w:r w:rsidR="00AB0B18">
        <w:rPr>
          <w:rFonts w:ascii="Times New Roman" w:hAnsi="Times New Roman" w:cs="Times New Roman"/>
          <w:sz w:val="24"/>
          <w:szCs w:val="24"/>
        </w:rPr>
        <w:tab/>
      </w:r>
      <w:r w:rsidR="00AB0B18">
        <w:rPr>
          <w:rFonts w:ascii="Times New Roman" w:hAnsi="Times New Roman" w:cs="Times New Roman"/>
          <w:sz w:val="24"/>
          <w:szCs w:val="24"/>
        </w:rPr>
        <w:tab/>
      </w:r>
      <w:r w:rsidR="00AB0B18">
        <w:rPr>
          <w:rFonts w:ascii="Times New Roman" w:hAnsi="Times New Roman" w:cs="Times New Roman"/>
          <w:sz w:val="24"/>
          <w:szCs w:val="24"/>
        </w:rPr>
        <w:tab/>
      </w:r>
      <w:r w:rsidR="00AB0B18">
        <w:rPr>
          <w:rFonts w:ascii="Times New Roman" w:hAnsi="Times New Roman" w:cs="Times New Roman"/>
          <w:sz w:val="24"/>
          <w:szCs w:val="24"/>
        </w:rPr>
        <w:tab/>
      </w:r>
      <w:r w:rsidR="00AB0B18">
        <w:rPr>
          <w:rFonts w:ascii="Times New Roman" w:hAnsi="Times New Roman" w:cs="Times New Roman"/>
          <w:sz w:val="24"/>
          <w:szCs w:val="24"/>
        </w:rPr>
        <w:tab/>
      </w:r>
      <w:r w:rsidR="00AB0B18" w:rsidRPr="00AB0B18">
        <w:rPr>
          <w:rFonts w:ascii="Times New Roman" w:hAnsi="Times New Roman" w:cs="Times New Roman"/>
          <w:sz w:val="24"/>
          <w:szCs w:val="24"/>
          <w:u w:val="single"/>
        </w:rPr>
        <w:tab/>
      </w:r>
      <w:r w:rsidR="00AB0B18" w:rsidRPr="00AB0B18">
        <w:rPr>
          <w:rFonts w:ascii="Times New Roman" w:hAnsi="Times New Roman" w:cs="Times New Roman"/>
          <w:sz w:val="24"/>
          <w:szCs w:val="24"/>
          <w:u w:val="single"/>
        </w:rPr>
        <w:tab/>
        <w:t xml:space="preserve">        Company</w:t>
      </w:r>
      <w:r w:rsidR="007A20C5" w:rsidRPr="00AB0B18">
        <w:rPr>
          <w:rFonts w:ascii="Times New Roman" w:hAnsi="Times New Roman" w:cs="Times New Roman"/>
          <w:sz w:val="20"/>
          <w:szCs w:val="20"/>
          <w:u w:val="single"/>
        </w:rPr>
        <w:tab/>
      </w:r>
      <w:r w:rsidR="007A20C5" w:rsidRPr="00AB0B18">
        <w:rPr>
          <w:rFonts w:ascii="Times New Roman" w:hAnsi="Times New Roman" w:cs="Times New Roman"/>
          <w:sz w:val="20"/>
          <w:szCs w:val="20"/>
          <w:u w:val="single"/>
        </w:rPr>
        <w:tab/>
      </w:r>
      <w:r w:rsidR="00E751D8" w:rsidRPr="00AB0B18">
        <w:rPr>
          <w:rFonts w:ascii="Times New Roman" w:hAnsi="Times New Roman" w:cs="Times New Roman"/>
          <w:sz w:val="20"/>
          <w:szCs w:val="20"/>
          <w:u w:val="single"/>
        </w:rPr>
        <w:t xml:space="preserve">    </w:t>
      </w:r>
    </w:p>
    <w:p w:rsidR="007A20C5" w:rsidRPr="002C45B4" w:rsidRDefault="007A20C5" w:rsidP="00E751D8">
      <w:pPr>
        <w:pBdr>
          <w:bottom w:val="single" w:sz="4" w:space="1" w:color="auto"/>
        </w:pBdr>
        <w:spacing w:line="240" w:lineRule="auto"/>
        <w:rPr>
          <w:rFonts w:ascii="Times New Roman" w:hAnsi="Times New Roman" w:cs="Times New Roman"/>
          <w:sz w:val="20"/>
          <w:szCs w:val="20"/>
        </w:rPr>
      </w:pPr>
      <w:r w:rsidRPr="002C45B4">
        <w:rPr>
          <w:rFonts w:ascii="Times New Roman" w:hAnsi="Times New Roman" w:cs="Times New Roman"/>
          <w:sz w:val="20"/>
          <w:szCs w:val="20"/>
        </w:rPr>
        <w:tab/>
      </w:r>
      <w:r w:rsidRPr="002C45B4">
        <w:rPr>
          <w:rFonts w:ascii="Times New Roman" w:hAnsi="Times New Roman" w:cs="Times New Roman"/>
          <w:sz w:val="20"/>
          <w:szCs w:val="20"/>
        </w:rPr>
        <w:tab/>
      </w:r>
      <w:r w:rsidRPr="002C45B4">
        <w:rPr>
          <w:rFonts w:ascii="Times New Roman" w:hAnsi="Times New Roman" w:cs="Times New Roman"/>
          <w:sz w:val="20"/>
          <w:szCs w:val="20"/>
        </w:rPr>
        <w:tab/>
      </w:r>
      <w:r w:rsidRPr="002C45B4">
        <w:rPr>
          <w:rFonts w:ascii="Times New Roman" w:hAnsi="Times New Roman" w:cs="Times New Roman"/>
          <w:sz w:val="20"/>
          <w:szCs w:val="20"/>
        </w:rPr>
        <w:tab/>
      </w:r>
      <w:r w:rsidRPr="002C45B4">
        <w:rPr>
          <w:rFonts w:ascii="Times New Roman" w:hAnsi="Times New Roman" w:cs="Times New Roman"/>
          <w:sz w:val="20"/>
          <w:szCs w:val="20"/>
        </w:rPr>
        <w:tab/>
      </w:r>
      <w:r w:rsidRPr="002C45B4">
        <w:rPr>
          <w:rFonts w:ascii="Times New Roman" w:hAnsi="Times New Roman" w:cs="Times New Roman"/>
          <w:sz w:val="20"/>
          <w:szCs w:val="20"/>
        </w:rPr>
        <w:tab/>
        <w:t>A</w:t>
      </w:r>
      <w:r w:rsidRPr="002C45B4">
        <w:rPr>
          <w:rFonts w:ascii="Times New Roman" w:hAnsi="Times New Roman" w:cs="Times New Roman"/>
          <w:sz w:val="20"/>
          <w:szCs w:val="20"/>
        </w:rPr>
        <w:tab/>
      </w:r>
      <w:r w:rsidRPr="002C45B4">
        <w:rPr>
          <w:rFonts w:ascii="Times New Roman" w:hAnsi="Times New Roman" w:cs="Times New Roman"/>
          <w:sz w:val="20"/>
          <w:szCs w:val="20"/>
        </w:rPr>
        <w:tab/>
        <w:t>B</w:t>
      </w:r>
      <w:r w:rsidRPr="002C45B4">
        <w:rPr>
          <w:rFonts w:ascii="Times New Roman" w:hAnsi="Times New Roman" w:cs="Times New Roman"/>
          <w:sz w:val="20"/>
          <w:szCs w:val="20"/>
        </w:rPr>
        <w:tab/>
      </w:r>
      <w:r w:rsidRPr="002C45B4">
        <w:rPr>
          <w:rFonts w:ascii="Times New Roman" w:hAnsi="Times New Roman" w:cs="Times New Roman"/>
          <w:sz w:val="20"/>
          <w:szCs w:val="20"/>
        </w:rPr>
        <w:tab/>
        <w:t>C</w:t>
      </w:r>
      <w:r w:rsidRPr="002C45B4">
        <w:rPr>
          <w:rFonts w:ascii="Times New Roman" w:hAnsi="Times New Roman" w:cs="Times New Roman"/>
          <w:sz w:val="20"/>
          <w:szCs w:val="20"/>
        </w:rPr>
        <w:tab/>
      </w:r>
      <w:r w:rsidRPr="002C45B4">
        <w:rPr>
          <w:rFonts w:ascii="Times New Roman" w:hAnsi="Times New Roman" w:cs="Times New Roman"/>
          <w:sz w:val="20"/>
          <w:szCs w:val="20"/>
        </w:rPr>
        <w:tab/>
        <w:t>D</w:t>
      </w:r>
    </w:p>
    <w:p w:rsidR="007A20C5" w:rsidRPr="002C45B4" w:rsidRDefault="007A20C5" w:rsidP="00E82E5E">
      <w:pPr>
        <w:spacing w:line="240" w:lineRule="auto"/>
        <w:rPr>
          <w:rFonts w:ascii="Times New Roman" w:hAnsi="Times New Roman" w:cs="Times New Roman"/>
          <w:b/>
          <w:sz w:val="20"/>
          <w:szCs w:val="20"/>
        </w:rPr>
      </w:pPr>
      <w:r w:rsidRPr="002C45B4">
        <w:rPr>
          <w:rFonts w:ascii="Times New Roman" w:hAnsi="Times New Roman" w:cs="Times New Roman"/>
          <w:b/>
          <w:sz w:val="20"/>
          <w:szCs w:val="20"/>
        </w:rPr>
        <w:t>Assets</w:t>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Current assets</w:t>
      </w:r>
    </w:p>
    <w:p w:rsidR="007A20C5" w:rsidRPr="002C45B4" w:rsidRDefault="007A20C5"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Cash and marketable securities</w:t>
      </w:r>
      <w:r w:rsidRPr="002C45B4">
        <w:rPr>
          <w:rFonts w:ascii="Times New Roman" w:hAnsi="Times New Roman" w:cs="Times New Roman"/>
          <w:sz w:val="20"/>
          <w:szCs w:val="20"/>
        </w:rPr>
        <w:tab/>
      </w:r>
      <w:r w:rsidRPr="002C45B4">
        <w:rPr>
          <w:rFonts w:ascii="Times New Roman" w:hAnsi="Times New Roman" w:cs="Times New Roman"/>
          <w:sz w:val="20"/>
          <w:szCs w:val="20"/>
        </w:rPr>
        <w:tab/>
      </w:r>
      <w:r w:rsidR="00690F3B">
        <w:rPr>
          <w:rFonts w:ascii="Times New Roman" w:hAnsi="Times New Roman" w:cs="Times New Roman"/>
          <w:sz w:val="20"/>
          <w:szCs w:val="20"/>
        </w:rPr>
        <w:t xml:space="preserve">      </w:t>
      </w:r>
      <w:r w:rsidRPr="002C45B4">
        <w:rPr>
          <w:rFonts w:ascii="Times New Roman" w:hAnsi="Times New Roman" w:cs="Times New Roman"/>
          <w:sz w:val="20"/>
          <w:szCs w:val="20"/>
        </w:rPr>
        <w:t>23.93%</w:t>
      </w:r>
      <w:r w:rsidR="00690F3B">
        <w:rPr>
          <w:rFonts w:ascii="Times New Roman" w:hAnsi="Times New Roman" w:cs="Times New Roman"/>
          <w:sz w:val="20"/>
          <w:szCs w:val="20"/>
        </w:rPr>
        <w:t xml:space="preserve">          </w:t>
      </w:r>
      <w:r w:rsidRPr="002C45B4">
        <w:rPr>
          <w:rFonts w:ascii="Times New Roman" w:hAnsi="Times New Roman" w:cs="Times New Roman"/>
          <w:sz w:val="20"/>
          <w:szCs w:val="20"/>
        </w:rPr>
        <w:tab/>
      </w:r>
      <w:r w:rsidR="00E751D8">
        <w:rPr>
          <w:rFonts w:ascii="Times New Roman" w:hAnsi="Times New Roman" w:cs="Times New Roman"/>
          <w:sz w:val="20"/>
          <w:szCs w:val="20"/>
        </w:rPr>
        <w:t xml:space="preserve">  </w:t>
      </w:r>
      <w:r w:rsidRPr="002C45B4">
        <w:rPr>
          <w:rFonts w:ascii="Times New Roman" w:hAnsi="Times New Roman" w:cs="Times New Roman"/>
          <w:sz w:val="20"/>
          <w:szCs w:val="20"/>
        </w:rPr>
        <w:t>12.19%</w:t>
      </w:r>
      <w:r w:rsidRPr="002C45B4">
        <w:rPr>
          <w:rFonts w:ascii="Times New Roman" w:hAnsi="Times New Roman" w:cs="Times New Roman"/>
          <w:sz w:val="20"/>
          <w:szCs w:val="20"/>
        </w:rPr>
        <w:tab/>
      </w:r>
      <w:r w:rsidR="00690F3B">
        <w:rPr>
          <w:rFonts w:ascii="Times New Roman" w:hAnsi="Times New Roman" w:cs="Times New Roman"/>
          <w:sz w:val="20"/>
          <w:szCs w:val="20"/>
        </w:rPr>
        <w:tab/>
        <w:t xml:space="preserve">        </w:t>
      </w:r>
      <w:r w:rsidRPr="002C45B4">
        <w:rPr>
          <w:rFonts w:ascii="Times New Roman" w:hAnsi="Times New Roman" w:cs="Times New Roman"/>
          <w:sz w:val="20"/>
          <w:szCs w:val="20"/>
        </w:rPr>
        <w:t>2.70%</w:t>
      </w:r>
      <w:r w:rsidRPr="002C45B4">
        <w:rPr>
          <w:rFonts w:ascii="Times New Roman" w:hAnsi="Times New Roman" w:cs="Times New Roman"/>
          <w:sz w:val="20"/>
          <w:szCs w:val="20"/>
        </w:rPr>
        <w:tab/>
      </w:r>
      <w:r w:rsidR="00690F3B">
        <w:rPr>
          <w:rFonts w:ascii="Times New Roman" w:hAnsi="Times New Roman" w:cs="Times New Roman"/>
          <w:sz w:val="20"/>
          <w:szCs w:val="20"/>
        </w:rPr>
        <w:t xml:space="preserve">          </w:t>
      </w:r>
      <w:r w:rsidRPr="002C45B4">
        <w:rPr>
          <w:rFonts w:ascii="Times New Roman" w:hAnsi="Times New Roman" w:cs="Times New Roman"/>
          <w:sz w:val="20"/>
          <w:szCs w:val="20"/>
        </w:rPr>
        <w:t>7.30%</w:t>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Current receivables</w:t>
      </w:r>
      <w:r w:rsidR="00690F3B">
        <w:rPr>
          <w:rFonts w:ascii="Times New Roman" w:hAnsi="Times New Roman" w:cs="Times New Roman"/>
          <w:sz w:val="20"/>
          <w:szCs w:val="20"/>
        </w:rPr>
        <w:tab/>
      </w:r>
      <w:r w:rsidR="00690F3B">
        <w:rPr>
          <w:rFonts w:ascii="Times New Roman" w:hAnsi="Times New Roman" w:cs="Times New Roman"/>
          <w:sz w:val="20"/>
          <w:szCs w:val="20"/>
        </w:rPr>
        <w:tab/>
      </w:r>
      <w:r w:rsidR="00690F3B">
        <w:rPr>
          <w:rFonts w:ascii="Times New Roman" w:hAnsi="Times New Roman" w:cs="Times New Roman"/>
          <w:sz w:val="20"/>
          <w:szCs w:val="20"/>
        </w:rPr>
        <w:tab/>
        <w:t xml:space="preserve">       0.00</w:t>
      </w:r>
      <w:r w:rsidR="00690F3B">
        <w:rPr>
          <w:rFonts w:ascii="Times New Roman" w:hAnsi="Times New Roman" w:cs="Times New Roman"/>
          <w:sz w:val="20"/>
          <w:szCs w:val="20"/>
        </w:rPr>
        <w:tab/>
      </w:r>
      <w:r w:rsidR="00690F3B">
        <w:rPr>
          <w:rFonts w:ascii="Times New Roman" w:hAnsi="Times New Roman" w:cs="Times New Roman"/>
          <w:sz w:val="20"/>
          <w:szCs w:val="20"/>
        </w:rPr>
        <w:tab/>
        <w:t xml:space="preserve">     6.88</w:t>
      </w:r>
      <w:r w:rsidR="00690F3B">
        <w:rPr>
          <w:rFonts w:ascii="Times New Roman" w:hAnsi="Times New Roman" w:cs="Times New Roman"/>
          <w:sz w:val="20"/>
          <w:szCs w:val="20"/>
        </w:rPr>
        <w:tab/>
      </w:r>
      <w:r w:rsidR="00690F3B">
        <w:rPr>
          <w:rFonts w:ascii="Times New Roman" w:hAnsi="Times New Roman" w:cs="Times New Roman"/>
          <w:sz w:val="20"/>
          <w:szCs w:val="20"/>
        </w:rPr>
        <w:tab/>
        <w:t xml:space="preserve">        3.05</w:t>
      </w:r>
      <w:r w:rsidR="00690F3B">
        <w:rPr>
          <w:rFonts w:ascii="Times New Roman" w:hAnsi="Times New Roman" w:cs="Times New Roman"/>
          <w:sz w:val="20"/>
          <w:szCs w:val="20"/>
        </w:rPr>
        <w:tab/>
        <w:t xml:space="preserve">          7.78</w:t>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Inventories</w:t>
      </w:r>
      <w:r w:rsidR="00690F3B">
        <w:rPr>
          <w:rFonts w:ascii="Times New Roman" w:hAnsi="Times New Roman" w:cs="Times New Roman"/>
          <w:sz w:val="20"/>
          <w:szCs w:val="20"/>
        </w:rPr>
        <w:tab/>
      </w:r>
      <w:r w:rsidR="00690F3B">
        <w:rPr>
          <w:rFonts w:ascii="Times New Roman" w:hAnsi="Times New Roman" w:cs="Times New Roman"/>
          <w:sz w:val="20"/>
          <w:szCs w:val="20"/>
        </w:rPr>
        <w:tab/>
      </w:r>
      <w:r w:rsidR="00690F3B">
        <w:rPr>
          <w:rFonts w:ascii="Times New Roman" w:hAnsi="Times New Roman" w:cs="Times New Roman"/>
          <w:sz w:val="20"/>
          <w:szCs w:val="20"/>
        </w:rPr>
        <w:tab/>
      </w:r>
      <w:r w:rsidR="00690F3B">
        <w:rPr>
          <w:rFonts w:ascii="Times New Roman" w:hAnsi="Times New Roman" w:cs="Times New Roman"/>
          <w:sz w:val="20"/>
          <w:szCs w:val="20"/>
        </w:rPr>
        <w:tab/>
        <w:t xml:space="preserve">    24.04</w:t>
      </w:r>
      <w:r w:rsidR="00690F3B">
        <w:rPr>
          <w:rFonts w:ascii="Times New Roman" w:hAnsi="Times New Roman" w:cs="Times New Roman"/>
          <w:sz w:val="20"/>
          <w:szCs w:val="20"/>
        </w:rPr>
        <w:tab/>
      </w:r>
      <w:r w:rsidR="00690F3B">
        <w:rPr>
          <w:rFonts w:ascii="Times New Roman" w:hAnsi="Times New Roman" w:cs="Times New Roman"/>
          <w:sz w:val="20"/>
          <w:szCs w:val="20"/>
        </w:rPr>
        <w:tab/>
        <w:t xml:space="preserve">     5.82</w:t>
      </w:r>
      <w:r w:rsidR="00690F3B">
        <w:rPr>
          <w:rFonts w:ascii="Times New Roman" w:hAnsi="Times New Roman" w:cs="Times New Roman"/>
          <w:sz w:val="20"/>
          <w:szCs w:val="20"/>
        </w:rPr>
        <w:tab/>
      </w:r>
      <w:r w:rsidR="00690F3B">
        <w:rPr>
          <w:rFonts w:ascii="Times New Roman" w:hAnsi="Times New Roman" w:cs="Times New Roman"/>
          <w:sz w:val="20"/>
          <w:szCs w:val="20"/>
        </w:rPr>
        <w:tab/>
        <w:t xml:space="preserve">        2.66</w:t>
      </w:r>
      <w:r w:rsidR="00690F3B">
        <w:rPr>
          <w:rFonts w:ascii="Times New Roman" w:hAnsi="Times New Roman" w:cs="Times New Roman"/>
          <w:sz w:val="20"/>
          <w:szCs w:val="20"/>
        </w:rPr>
        <w:tab/>
        <w:t xml:space="preserve">         2.71</w:t>
      </w:r>
      <w:r w:rsidR="00690F3B">
        <w:rPr>
          <w:rFonts w:ascii="Times New Roman" w:hAnsi="Times New Roman" w:cs="Times New Roman"/>
          <w:sz w:val="20"/>
          <w:szCs w:val="20"/>
        </w:rPr>
        <w:tab/>
      </w:r>
      <w:r w:rsidR="00690F3B">
        <w:rPr>
          <w:rFonts w:ascii="Times New Roman" w:hAnsi="Times New Roman" w:cs="Times New Roman"/>
          <w:sz w:val="20"/>
          <w:szCs w:val="20"/>
        </w:rPr>
        <w:tab/>
        <w:t xml:space="preserve">      </w:t>
      </w:r>
    </w:p>
    <w:p w:rsidR="00E82E5E" w:rsidRPr="00690F3B" w:rsidRDefault="00E82E5E" w:rsidP="00E82E5E">
      <w:pPr>
        <w:spacing w:line="240" w:lineRule="auto"/>
        <w:rPr>
          <w:rFonts w:ascii="Times New Roman" w:hAnsi="Times New Roman" w:cs="Times New Roman"/>
          <w:sz w:val="20"/>
          <w:szCs w:val="20"/>
          <w:u w:val="single"/>
        </w:rPr>
      </w:pPr>
      <w:r w:rsidRPr="002C45B4">
        <w:rPr>
          <w:rFonts w:ascii="Times New Roman" w:hAnsi="Times New Roman" w:cs="Times New Roman"/>
          <w:sz w:val="20"/>
          <w:szCs w:val="20"/>
        </w:rPr>
        <w:t>Other current assets</w:t>
      </w:r>
      <w:r w:rsidR="00153ED2">
        <w:rPr>
          <w:rFonts w:ascii="Times New Roman" w:hAnsi="Times New Roman" w:cs="Times New Roman"/>
          <w:sz w:val="20"/>
          <w:szCs w:val="20"/>
        </w:rPr>
        <w:t xml:space="preserve"> </w:t>
      </w:r>
      <w:r w:rsidR="00690F3B">
        <w:rPr>
          <w:rFonts w:ascii="Times New Roman" w:hAnsi="Times New Roman" w:cs="Times New Roman"/>
          <w:sz w:val="20"/>
          <w:szCs w:val="20"/>
        </w:rPr>
        <w:tab/>
      </w:r>
      <w:r w:rsidR="00690F3B">
        <w:rPr>
          <w:rFonts w:ascii="Times New Roman" w:hAnsi="Times New Roman" w:cs="Times New Roman"/>
          <w:sz w:val="20"/>
          <w:szCs w:val="20"/>
        </w:rPr>
        <w:tab/>
      </w:r>
      <w:r w:rsidR="00690F3B">
        <w:rPr>
          <w:rFonts w:ascii="Times New Roman" w:hAnsi="Times New Roman" w:cs="Times New Roman"/>
          <w:sz w:val="20"/>
          <w:szCs w:val="20"/>
        </w:rPr>
        <w:tab/>
      </w:r>
      <w:r w:rsidR="00690F3B" w:rsidRPr="00690F3B">
        <w:rPr>
          <w:rFonts w:ascii="Times New Roman" w:hAnsi="Times New Roman" w:cs="Times New Roman"/>
          <w:sz w:val="20"/>
          <w:szCs w:val="20"/>
          <w:u w:val="single"/>
        </w:rPr>
        <w:t xml:space="preserve">      4.90</w:t>
      </w:r>
      <w:r w:rsidR="00690F3B" w:rsidRPr="00690F3B">
        <w:rPr>
          <w:rFonts w:ascii="Times New Roman" w:hAnsi="Times New Roman" w:cs="Times New Roman"/>
          <w:sz w:val="20"/>
          <w:szCs w:val="20"/>
          <w:u w:val="single"/>
        </w:rPr>
        <w:tab/>
      </w:r>
      <w:r w:rsidR="00690F3B">
        <w:rPr>
          <w:rFonts w:ascii="Times New Roman" w:hAnsi="Times New Roman" w:cs="Times New Roman"/>
          <w:sz w:val="20"/>
          <w:szCs w:val="20"/>
        </w:rPr>
        <w:tab/>
        <w:t xml:space="preserve">     </w:t>
      </w:r>
      <w:r w:rsidR="00690F3B" w:rsidRPr="00690F3B">
        <w:rPr>
          <w:rFonts w:ascii="Times New Roman" w:hAnsi="Times New Roman" w:cs="Times New Roman"/>
          <w:sz w:val="20"/>
          <w:szCs w:val="20"/>
          <w:u w:val="single"/>
        </w:rPr>
        <w:t>4.06</w:t>
      </w:r>
      <w:r w:rsidR="00690F3B">
        <w:rPr>
          <w:rFonts w:ascii="Times New Roman" w:hAnsi="Times New Roman" w:cs="Times New Roman"/>
          <w:sz w:val="20"/>
          <w:szCs w:val="20"/>
        </w:rPr>
        <w:tab/>
        <w:t xml:space="preserve">  </w:t>
      </w:r>
      <w:r w:rsidR="00690F3B">
        <w:rPr>
          <w:rFonts w:ascii="Times New Roman" w:hAnsi="Times New Roman" w:cs="Times New Roman"/>
          <w:sz w:val="20"/>
          <w:szCs w:val="20"/>
        </w:rPr>
        <w:tab/>
      </w:r>
      <w:r w:rsidR="00690F3B" w:rsidRPr="00690F3B">
        <w:rPr>
          <w:rFonts w:ascii="Times New Roman" w:hAnsi="Times New Roman" w:cs="Times New Roman"/>
          <w:sz w:val="20"/>
          <w:szCs w:val="20"/>
          <w:u w:val="single"/>
        </w:rPr>
        <w:t xml:space="preserve">       1.70</w:t>
      </w:r>
      <w:r w:rsidR="00690F3B" w:rsidRPr="00690F3B">
        <w:rPr>
          <w:rFonts w:ascii="Times New Roman" w:hAnsi="Times New Roman" w:cs="Times New Roman"/>
          <w:sz w:val="20"/>
          <w:szCs w:val="20"/>
          <w:u w:val="single"/>
        </w:rPr>
        <w:tab/>
      </w:r>
      <w:r w:rsidR="00690F3B">
        <w:rPr>
          <w:rFonts w:ascii="Times New Roman" w:hAnsi="Times New Roman" w:cs="Times New Roman"/>
          <w:sz w:val="20"/>
          <w:szCs w:val="20"/>
        </w:rPr>
        <w:tab/>
      </w:r>
      <w:r w:rsidR="00690F3B" w:rsidRPr="00690F3B">
        <w:rPr>
          <w:rFonts w:ascii="Times New Roman" w:hAnsi="Times New Roman" w:cs="Times New Roman"/>
          <w:sz w:val="20"/>
          <w:szCs w:val="20"/>
          <w:u w:val="single"/>
        </w:rPr>
        <w:t xml:space="preserve">        2.00</w:t>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Total current assets</w:t>
      </w:r>
      <w:r w:rsidR="00153ED2">
        <w:rPr>
          <w:rFonts w:ascii="Times New Roman" w:hAnsi="Times New Roman" w:cs="Times New Roman"/>
          <w:sz w:val="20"/>
          <w:szCs w:val="20"/>
        </w:rPr>
        <w:tab/>
      </w:r>
      <w:r w:rsidR="00153ED2">
        <w:rPr>
          <w:rFonts w:ascii="Times New Roman" w:hAnsi="Times New Roman" w:cs="Times New Roman"/>
          <w:sz w:val="20"/>
          <w:szCs w:val="20"/>
        </w:rPr>
        <w:tab/>
      </w:r>
      <w:r w:rsidR="00153ED2">
        <w:rPr>
          <w:rFonts w:ascii="Times New Roman" w:hAnsi="Times New Roman" w:cs="Times New Roman"/>
          <w:sz w:val="20"/>
          <w:szCs w:val="20"/>
        </w:rPr>
        <w:tab/>
        <w:t xml:space="preserve">    52.87%</w:t>
      </w:r>
      <w:r w:rsidR="00153ED2">
        <w:rPr>
          <w:rFonts w:ascii="Times New Roman" w:hAnsi="Times New Roman" w:cs="Times New Roman"/>
          <w:sz w:val="20"/>
          <w:szCs w:val="20"/>
        </w:rPr>
        <w:tab/>
        <w:t xml:space="preserve">   29.96%</w:t>
      </w:r>
      <w:r w:rsidR="00153ED2">
        <w:rPr>
          <w:rFonts w:ascii="Times New Roman" w:hAnsi="Times New Roman" w:cs="Times New Roman"/>
          <w:sz w:val="20"/>
          <w:szCs w:val="20"/>
        </w:rPr>
        <w:tab/>
        <w:t xml:space="preserve">     10.11%</w:t>
      </w:r>
      <w:r w:rsidR="00153ED2">
        <w:rPr>
          <w:rFonts w:ascii="Times New Roman" w:hAnsi="Times New Roman" w:cs="Times New Roman"/>
          <w:sz w:val="20"/>
          <w:szCs w:val="20"/>
        </w:rPr>
        <w:tab/>
        <w:t xml:space="preserve">     19.79%</w:t>
      </w:r>
      <w:r w:rsidR="00153ED2">
        <w:rPr>
          <w:rFonts w:ascii="Times New Roman" w:hAnsi="Times New Roman" w:cs="Times New Roman"/>
          <w:sz w:val="20"/>
          <w:szCs w:val="20"/>
        </w:rPr>
        <w:tab/>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Noncurrent assets</w:t>
      </w:r>
      <w:r w:rsidR="00153ED2">
        <w:rPr>
          <w:rFonts w:ascii="Times New Roman" w:hAnsi="Times New Roman" w:cs="Times New Roman"/>
          <w:sz w:val="20"/>
          <w:szCs w:val="20"/>
        </w:rPr>
        <w:tab/>
      </w:r>
      <w:r w:rsidR="00153ED2">
        <w:rPr>
          <w:rFonts w:ascii="Times New Roman" w:hAnsi="Times New Roman" w:cs="Times New Roman"/>
          <w:sz w:val="20"/>
          <w:szCs w:val="20"/>
        </w:rPr>
        <w:tab/>
      </w:r>
      <w:r w:rsidR="00153ED2">
        <w:rPr>
          <w:rFonts w:ascii="Times New Roman" w:hAnsi="Times New Roman" w:cs="Times New Roman"/>
          <w:sz w:val="20"/>
          <w:szCs w:val="20"/>
        </w:rPr>
        <w:tab/>
      </w:r>
      <w:r w:rsidR="00153ED2">
        <w:rPr>
          <w:rFonts w:ascii="Times New Roman" w:hAnsi="Times New Roman" w:cs="Times New Roman"/>
          <w:sz w:val="20"/>
          <w:szCs w:val="20"/>
        </w:rPr>
        <w:tab/>
        <w:t xml:space="preserve">    42.58</w:t>
      </w:r>
      <w:r w:rsidR="00153ED2">
        <w:rPr>
          <w:rFonts w:ascii="Times New Roman" w:hAnsi="Times New Roman" w:cs="Times New Roman"/>
          <w:sz w:val="20"/>
          <w:szCs w:val="20"/>
        </w:rPr>
        <w:tab/>
      </w:r>
      <w:r w:rsidR="00153ED2">
        <w:rPr>
          <w:rFonts w:ascii="Times New Roman" w:hAnsi="Times New Roman" w:cs="Times New Roman"/>
          <w:sz w:val="20"/>
          <w:szCs w:val="20"/>
        </w:rPr>
        <w:tab/>
        <w:t xml:space="preserve">  10.70</w:t>
      </w:r>
      <w:r w:rsidR="00153ED2">
        <w:rPr>
          <w:rFonts w:ascii="Times New Roman" w:hAnsi="Times New Roman" w:cs="Times New Roman"/>
          <w:sz w:val="20"/>
          <w:szCs w:val="20"/>
        </w:rPr>
        <w:tab/>
      </w:r>
      <w:r w:rsidR="00153ED2">
        <w:rPr>
          <w:rFonts w:ascii="Times New Roman" w:hAnsi="Times New Roman" w:cs="Times New Roman"/>
          <w:sz w:val="20"/>
          <w:szCs w:val="20"/>
        </w:rPr>
        <w:tab/>
        <w:t xml:space="preserve">    66.53%</w:t>
      </w:r>
      <w:r w:rsidR="00153ED2">
        <w:rPr>
          <w:rFonts w:ascii="Times New Roman" w:hAnsi="Times New Roman" w:cs="Times New Roman"/>
          <w:sz w:val="20"/>
          <w:szCs w:val="20"/>
        </w:rPr>
        <w:tab/>
        <w:t xml:space="preserve">      6.03</w:t>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Property, plant, and equipment</w:t>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0.00</w:t>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51.84</w:t>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8.67</w:t>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61.92</w:t>
      </w:r>
    </w:p>
    <w:p w:rsidR="00E82E5E" w:rsidRPr="00E751D8" w:rsidRDefault="00E82E5E" w:rsidP="00E82E5E">
      <w:pPr>
        <w:spacing w:line="240" w:lineRule="auto"/>
        <w:rPr>
          <w:rFonts w:ascii="Times New Roman" w:hAnsi="Times New Roman" w:cs="Times New Roman"/>
          <w:sz w:val="20"/>
          <w:szCs w:val="20"/>
          <w:u w:val="single"/>
        </w:rPr>
      </w:pPr>
      <w:r w:rsidRPr="002C45B4">
        <w:rPr>
          <w:rFonts w:ascii="Times New Roman" w:hAnsi="Times New Roman" w:cs="Times New Roman"/>
          <w:sz w:val="20"/>
          <w:szCs w:val="20"/>
        </w:rPr>
        <w:t>Goodwill and intangibles, net</w:t>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sidRPr="00E751D8">
        <w:rPr>
          <w:rFonts w:ascii="Times New Roman" w:hAnsi="Times New Roman" w:cs="Times New Roman"/>
          <w:sz w:val="20"/>
          <w:szCs w:val="20"/>
          <w:u w:val="single"/>
        </w:rPr>
        <w:t xml:space="preserve">     4.55</w:t>
      </w:r>
      <w:r w:rsidR="00EB3082" w:rsidRPr="00E751D8">
        <w:rPr>
          <w:rFonts w:ascii="Times New Roman" w:hAnsi="Times New Roman" w:cs="Times New Roman"/>
          <w:sz w:val="20"/>
          <w:szCs w:val="20"/>
          <w:u w:val="single"/>
        </w:rPr>
        <w:tab/>
      </w:r>
      <w:r w:rsidR="00EB3082">
        <w:rPr>
          <w:rFonts w:ascii="Times New Roman" w:hAnsi="Times New Roman" w:cs="Times New Roman"/>
          <w:sz w:val="20"/>
          <w:szCs w:val="20"/>
        </w:rPr>
        <w:tab/>
      </w:r>
      <w:r w:rsidR="00EB3082" w:rsidRPr="00E751D8">
        <w:rPr>
          <w:rFonts w:ascii="Times New Roman" w:hAnsi="Times New Roman" w:cs="Times New Roman"/>
          <w:sz w:val="20"/>
          <w:szCs w:val="20"/>
          <w:u w:val="single"/>
        </w:rPr>
        <w:t xml:space="preserve">    8.50</w:t>
      </w:r>
      <w:r w:rsidR="00EB3082" w:rsidRPr="00E751D8">
        <w:rPr>
          <w:rFonts w:ascii="Times New Roman" w:hAnsi="Times New Roman" w:cs="Times New Roman"/>
          <w:sz w:val="20"/>
          <w:szCs w:val="20"/>
          <w:u w:val="single"/>
        </w:rPr>
        <w:tab/>
      </w:r>
      <w:r w:rsidR="00EB3082">
        <w:rPr>
          <w:rFonts w:ascii="Times New Roman" w:hAnsi="Times New Roman" w:cs="Times New Roman"/>
          <w:sz w:val="20"/>
          <w:szCs w:val="20"/>
        </w:rPr>
        <w:tab/>
      </w:r>
      <w:r w:rsidR="00EB3082" w:rsidRPr="00E751D8">
        <w:rPr>
          <w:rFonts w:ascii="Times New Roman" w:hAnsi="Times New Roman" w:cs="Times New Roman"/>
          <w:sz w:val="20"/>
          <w:szCs w:val="20"/>
          <w:u w:val="single"/>
        </w:rPr>
        <w:t xml:space="preserve">   14.69</w:t>
      </w:r>
      <w:r w:rsidR="00EB3082" w:rsidRPr="00E751D8">
        <w:rPr>
          <w:rFonts w:ascii="Times New Roman" w:hAnsi="Times New Roman" w:cs="Times New Roman"/>
          <w:sz w:val="20"/>
          <w:szCs w:val="20"/>
          <w:u w:val="single"/>
        </w:rPr>
        <w:tab/>
      </w:r>
      <w:r w:rsidR="00EB3082">
        <w:rPr>
          <w:rFonts w:ascii="Times New Roman" w:hAnsi="Times New Roman" w:cs="Times New Roman"/>
          <w:sz w:val="20"/>
          <w:szCs w:val="20"/>
        </w:rPr>
        <w:tab/>
      </w:r>
      <w:r w:rsidR="00EB3082" w:rsidRPr="00E751D8">
        <w:rPr>
          <w:rFonts w:ascii="Times New Roman" w:hAnsi="Times New Roman" w:cs="Times New Roman"/>
          <w:sz w:val="20"/>
          <w:szCs w:val="20"/>
          <w:u w:val="single"/>
        </w:rPr>
        <w:t xml:space="preserve">   12.26</w:t>
      </w:r>
    </w:p>
    <w:p w:rsidR="00E82E5E" w:rsidRPr="00EB3082" w:rsidRDefault="00E82E5E" w:rsidP="00E82E5E">
      <w:pPr>
        <w:spacing w:line="240" w:lineRule="auto"/>
        <w:rPr>
          <w:rFonts w:ascii="Times New Roman" w:hAnsi="Times New Roman" w:cs="Times New Roman"/>
          <w:sz w:val="20"/>
          <w:szCs w:val="20"/>
          <w:u w:val="double"/>
        </w:rPr>
      </w:pPr>
      <w:r w:rsidRPr="002C45B4">
        <w:rPr>
          <w:rFonts w:ascii="Times New Roman" w:hAnsi="Times New Roman" w:cs="Times New Roman"/>
          <w:sz w:val="20"/>
          <w:szCs w:val="20"/>
        </w:rPr>
        <w:t>Other assets, net</w:t>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sidRPr="00EB3082">
        <w:rPr>
          <w:rFonts w:ascii="Times New Roman" w:hAnsi="Times New Roman" w:cs="Times New Roman"/>
          <w:sz w:val="20"/>
          <w:szCs w:val="20"/>
          <w:u w:val="double"/>
        </w:rPr>
        <w:t>100.00%</w:t>
      </w:r>
      <w:r w:rsidR="00EB3082" w:rsidRPr="00EB3082">
        <w:rPr>
          <w:rFonts w:ascii="Times New Roman" w:hAnsi="Times New Roman" w:cs="Times New Roman"/>
          <w:sz w:val="20"/>
          <w:szCs w:val="20"/>
          <w:u w:val="double"/>
        </w:rPr>
        <w:tab/>
      </w:r>
      <w:r w:rsidR="00EB3082">
        <w:rPr>
          <w:rFonts w:ascii="Times New Roman" w:hAnsi="Times New Roman" w:cs="Times New Roman"/>
          <w:sz w:val="20"/>
          <w:szCs w:val="20"/>
        </w:rPr>
        <w:tab/>
      </w:r>
      <w:r w:rsidR="00EB3082" w:rsidRPr="00EB3082">
        <w:rPr>
          <w:rFonts w:ascii="Times New Roman" w:hAnsi="Times New Roman" w:cs="Times New Roman"/>
          <w:sz w:val="20"/>
          <w:szCs w:val="20"/>
          <w:u w:val="double"/>
        </w:rPr>
        <w:t>100.00%</w:t>
      </w:r>
      <w:r w:rsidR="00EB3082" w:rsidRPr="00EB3082">
        <w:rPr>
          <w:rFonts w:ascii="Times New Roman" w:hAnsi="Times New Roman" w:cs="Times New Roman"/>
          <w:sz w:val="20"/>
          <w:szCs w:val="20"/>
          <w:u w:val="double"/>
        </w:rPr>
        <w:tab/>
      </w:r>
      <w:r w:rsidR="00EB3082">
        <w:rPr>
          <w:rFonts w:ascii="Times New Roman" w:hAnsi="Times New Roman" w:cs="Times New Roman"/>
          <w:sz w:val="20"/>
          <w:szCs w:val="20"/>
        </w:rPr>
        <w:tab/>
      </w:r>
      <w:r w:rsidR="00EB3082" w:rsidRPr="00EB3082">
        <w:rPr>
          <w:rFonts w:ascii="Times New Roman" w:hAnsi="Times New Roman" w:cs="Times New Roman"/>
          <w:sz w:val="20"/>
          <w:szCs w:val="20"/>
          <w:u w:val="double"/>
        </w:rPr>
        <w:t>100.00%</w:t>
      </w:r>
      <w:r w:rsidR="00EB3082" w:rsidRPr="00EB3082">
        <w:rPr>
          <w:rFonts w:ascii="Times New Roman" w:hAnsi="Times New Roman" w:cs="Times New Roman"/>
          <w:sz w:val="20"/>
          <w:szCs w:val="20"/>
          <w:u w:val="double"/>
        </w:rPr>
        <w:tab/>
      </w:r>
      <w:r w:rsidR="00EB3082">
        <w:rPr>
          <w:rFonts w:ascii="Times New Roman" w:hAnsi="Times New Roman" w:cs="Times New Roman"/>
          <w:sz w:val="20"/>
          <w:szCs w:val="20"/>
        </w:rPr>
        <w:tab/>
      </w:r>
      <w:r w:rsidR="00EB3082" w:rsidRPr="00EB3082">
        <w:rPr>
          <w:rFonts w:ascii="Times New Roman" w:hAnsi="Times New Roman" w:cs="Times New Roman"/>
          <w:sz w:val="20"/>
          <w:szCs w:val="20"/>
          <w:u w:val="double"/>
        </w:rPr>
        <w:t>100</w:t>
      </w:r>
      <w:proofErr w:type="gramStart"/>
      <w:r w:rsidR="00EB3082" w:rsidRPr="00EB3082">
        <w:rPr>
          <w:rFonts w:ascii="Times New Roman" w:hAnsi="Times New Roman" w:cs="Times New Roman"/>
          <w:sz w:val="20"/>
          <w:szCs w:val="20"/>
          <w:u w:val="double"/>
        </w:rPr>
        <w:t>,00</w:t>
      </w:r>
      <w:proofErr w:type="gramEnd"/>
      <w:r w:rsidR="00EB3082" w:rsidRPr="00EB3082">
        <w:rPr>
          <w:rFonts w:ascii="Times New Roman" w:hAnsi="Times New Roman" w:cs="Times New Roman"/>
          <w:sz w:val="20"/>
          <w:szCs w:val="20"/>
          <w:u w:val="double"/>
        </w:rPr>
        <w:t>%</w:t>
      </w:r>
    </w:p>
    <w:p w:rsidR="00E82E5E" w:rsidRPr="002C45B4" w:rsidRDefault="00E82E5E" w:rsidP="00E82E5E">
      <w:pPr>
        <w:spacing w:line="240" w:lineRule="auto"/>
        <w:rPr>
          <w:rFonts w:ascii="Times New Roman" w:hAnsi="Times New Roman" w:cs="Times New Roman"/>
          <w:b/>
          <w:sz w:val="20"/>
          <w:szCs w:val="20"/>
        </w:rPr>
      </w:pPr>
      <w:r w:rsidRPr="002C45B4">
        <w:rPr>
          <w:rFonts w:ascii="Times New Roman" w:hAnsi="Times New Roman" w:cs="Times New Roman"/>
          <w:sz w:val="20"/>
          <w:szCs w:val="20"/>
        </w:rPr>
        <w:t>Total</w:t>
      </w:r>
      <w:r w:rsidR="001573B2">
        <w:rPr>
          <w:rFonts w:ascii="Times New Roman" w:hAnsi="Times New Roman" w:cs="Times New Roman"/>
          <w:sz w:val="20"/>
          <w:szCs w:val="20"/>
        </w:rPr>
        <w:t xml:space="preserve"> assets</w:t>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Pr>
          <w:rFonts w:ascii="Times New Roman" w:hAnsi="Times New Roman" w:cs="Times New Roman"/>
          <w:sz w:val="20"/>
          <w:szCs w:val="20"/>
        </w:rPr>
        <w:tab/>
      </w:r>
    </w:p>
    <w:p w:rsidR="00E82E5E" w:rsidRPr="002C45B4" w:rsidRDefault="00E82E5E" w:rsidP="00E82E5E">
      <w:pPr>
        <w:spacing w:line="240" w:lineRule="auto"/>
        <w:rPr>
          <w:rFonts w:ascii="Times New Roman" w:hAnsi="Times New Roman" w:cs="Times New Roman"/>
          <w:b/>
          <w:sz w:val="20"/>
          <w:szCs w:val="20"/>
        </w:rPr>
      </w:pPr>
      <w:r w:rsidRPr="002C45B4">
        <w:rPr>
          <w:rFonts w:ascii="Times New Roman" w:hAnsi="Times New Roman" w:cs="Times New Roman"/>
          <w:b/>
          <w:sz w:val="20"/>
          <w:szCs w:val="20"/>
        </w:rPr>
        <w:t>Liabilities and Stockholder’ Equity</w:t>
      </w:r>
    </w:p>
    <w:p w:rsidR="00E82E5E" w:rsidRPr="002C45B4" w:rsidRDefault="00E82E5E" w:rsidP="00E82E5E">
      <w:pPr>
        <w:spacing w:line="240" w:lineRule="auto"/>
        <w:rPr>
          <w:rFonts w:ascii="Times New Roman" w:hAnsi="Times New Roman" w:cs="Times New Roman"/>
          <w:b/>
          <w:sz w:val="20"/>
          <w:szCs w:val="20"/>
        </w:rPr>
      </w:pPr>
      <w:r w:rsidRPr="002C45B4">
        <w:rPr>
          <w:rFonts w:ascii="Times New Roman" w:hAnsi="Times New Roman" w:cs="Times New Roman"/>
          <w:b/>
          <w:sz w:val="20"/>
          <w:szCs w:val="20"/>
        </w:rPr>
        <w:t>Current liabilities</w:t>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Total current liabilities</w:t>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25.82%</w:t>
      </w:r>
      <w:r w:rsidR="00EB3082">
        <w:rPr>
          <w:rFonts w:ascii="Times New Roman" w:hAnsi="Times New Roman" w:cs="Times New Roman"/>
          <w:sz w:val="20"/>
          <w:szCs w:val="20"/>
        </w:rPr>
        <w:tab/>
        <w:t xml:space="preserve">   17.48%</w:t>
      </w:r>
      <w:r w:rsidR="00EB3082">
        <w:rPr>
          <w:rFonts w:ascii="Times New Roman" w:hAnsi="Times New Roman" w:cs="Times New Roman"/>
          <w:sz w:val="20"/>
          <w:szCs w:val="20"/>
        </w:rPr>
        <w:tab/>
        <w:t xml:space="preserve">      7.17%</w:t>
      </w:r>
      <w:r w:rsidR="00EB3082">
        <w:rPr>
          <w:rFonts w:ascii="Times New Roman" w:hAnsi="Times New Roman" w:cs="Times New Roman"/>
          <w:sz w:val="20"/>
          <w:szCs w:val="20"/>
        </w:rPr>
        <w:tab/>
        <w:t xml:space="preserve">   13.33%</w:t>
      </w:r>
    </w:p>
    <w:p w:rsidR="00E82E5E" w:rsidRPr="002C45B4" w:rsidRDefault="00E82E5E"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Long-term liabilities</w:t>
      </w:r>
      <w:r w:rsidR="00EB3082">
        <w:rPr>
          <w:rFonts w:ascii="Times New Roman" w:hAnsi="Times New Roman" w:cs="Times New Roman"/>
          <w:sz w:val="20"/>
          <w:szCs w:val="20"/>
        </w:rPr>
        <w:tab/>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36.20</w:t>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40.05</w:t>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54.46</w:t>
      </w:r>
      <w:r w:rsidR="00EB3082">
        <w:rPr>
          <w:rFonts w:ascii="Times New Roman" w:hAnsi="Times New Roman" w:cs="Times New Roman"/>
          <w:sz w:val="20"/>
          <w:szCs w:val="20"/>
        </w:rPr>
        <w:tab/>
      </w:r>
      <w:r w:rsidR="00EB3082">
        <w:rPr>
          <w:rFonts w:ascii="Times New Roman" w:hAnsi="Times New Roman" w:cs="Times New Roman"/>
          <w:sz w:val="20"/>
          <w:szCs w:val="20"/>
        </w:rPr>
        <w:tab/>
        <w:t xml:space="preserve">   35.36</w:t>
      </w:r>
    </w:p>
    <w:p w:rsidR="00E82E5E" w:rsidRPr="002C45B4" w:rsidRDefault="009F5DAD"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Total liabilities</w:t>
      </w:r>
      <w:r w:rsidR="001573B2">
        <w:rPr>
          <w:rFonts w:ascii="Times New Roman" w:hAnsi="Times New Roman" w:cs="Times New Roman"/>
          <w:sz w:val="20"/>
          <w:szCs w:val="20"/>
        </w:rPr>
        <w:tab/>
      </w:r>
      <w:r w:rsidR="001573B2">
        <w:rPr>
          <w:rFonts w:ascii="Times New Roman" w:hAnsi="Times New Roman" w:cs="Times New Roman"/>
          <w:sz w:val="20"/>
          <w:szCs w:val="20"/>
        </w:rPr>
        <w:tab/>
      </w:r>
      <w:r w:rsidR="001573B2">
        <w:rPr>
          <w:rFonts w:ascii="Times New Roman" w:hAnsi="Times New Roman" w:cs="Times New Roman"/>
          <w:sz w:val="20"/>
          <w:szCs w:val="20"/>
        </w:rPr>
        <w:tab/>
      </w:r>
      <w:r w:rsidR="001573B2">
        <w:rPr>
          <w:rFonts w:ascii="Times New Roman" w:hAnsi="Times New Roman" w:cs="Times New Roman"/>
          <w:sz w:val="20"/>
          <w:szCs w:val="20"/>
        </w:rPr>
        <w:tab/>
        <w:t xml:space="preserve">  62.02</w:t>
      </w:r>
      <w:r w:rsidR="001573B2">
        <w:rPr>
          <w:rFonts w:ascii="Times New Roman" w:hAnsi="Times New Roman" w:cs="Times New Roman"/>
          <w:sz w:val="20"/>
          <w:szCs w:val="20"/>
        </w:rPr>
        <w:tab/>
      </w:r>
      <w:r w:rsidR="001573B2">
        <w:rPr>
          <w:rFonts w:ascii="Times New Roman" w:hAnsi="Times New Roman" w:cs="Times New Roman"/>
          <w:sz w:val="20"/>
          <w:szCs w:val="20"/>
        </w:rPr>
        <w:tab/>
        <w:t xml:space="preserve">  57.53</w:t>
      </w:r>
      <w:r w:rsidR="001573B2">
        <w:rPr>
          <w:rFonts w:ascii="Times New Roman" w:hAnsi="Times New Roman" w:cs="Times New Roman"/>
          <w:sz w:val="20"/>
          <w:szCs w:val="20"/>
        </w:rPr>
        <w:tab/>
      </w:r>
      <w:r w:rsidR="001573B2">
        <w:rPr>
          <w:rFonts w:ascii="Times New Roman" w:hAnsi="Times New Roman" w:cs="Times New Roman"/>
          <w:sz w:val="20"/>
          <w:szCs w:val="20"/>
        </w:rPr>
        <w:tab/>
        <w:t xml:space="preserve">   61.63</w:t>
      </w:r>
      <w:r w:rsidR="001573B2">
        <w:rPr>
          <w:rFonts w:ascii="Times New Roman" w:hAnsi="Times New Roman" w:cs="Times New Roman"/>
          <w:sz w:val="20"/>
          <w:szCs w:val="20"/>
        </w:rPr>
        <w:tab/>
      </w:r>
      <w:r w:rsidR="001573B2">
        <w:rPr>
          <w:rFonts w:ascii="Times New Roman" w:hAnsi="Times New Roman" w:cs="Times New Roman"/>
          <w:sz w:val="20"/>
          <w:szCs w:val="20"/>
        </w:rPr>
        <w:tab/>
        <w:t xml:space="preserve">   48.69</w:t>
      </w:r>
    </w:p>
    <w:p w:rsidR="009F5DAD" w:rsidRPr="002C45B4" w:rsidRDefault="009F5DAD"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Stockholders’ equity</w:t>
      </w:r>
      <w:r w:rsidR="001573B2">
        <w:rPr>
          <w:rFonts w:ascii="Times New Roman" w:hAnsi="Times New Roman" w:cs="Times New Roman"/>
          <w:sz w:val="20"/>
          <w:szCs w:val="20"/>
        </w:rPr>
        <w:tab/>
      </w:r>
      <w:r w:rsidR="001573B2">
        <w:rPr>
          <w:rFonts w:ascii="Times New Roman" w:hAnsi="Times New Roman" w:cs="Times New Roman"/>
          <w:sz w:val="20"/>
          <w:szCs w:val="20"/>
        </w:rPr>
        <w:tab/>
      </w:r>
      <w:r w:rsidR="001573B2">
        <w:rPr>
          <w:rFonts w:ascii="Times New Roman" w:hAnsi="Times New Roman" w:cs="Times New Roman"/>
          <w:sz w:val="20"/>
          <w:szCs w:val="20"/>
        </w:rPr>
        <w:tab/>
      </w:r>
    </w:p>
    <w:p w:rsidR="009F5DAD" w:rsidRPr="002C45B4" w:rsidRDefault="009F5DAD"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Contribute capital and other equity items*</w:t>
      </w:r>
      <w:r w:rsidR="002C45B4">
        <w:rPr>
          <w:rFonts w:ascii="Times New Roman" w:hAnsi="Times New Roman" w:cs="Times New Roman"/>
          <w:sz w:val="20"/>
          <w:szCs w:val="20"/>
        </w:rPr>
        <w:tab/>
        <w:t xml:space="preserve">  21.90</w:t>
      </w:r>
      <w:r w:rsidR="002C45B4">
        <w:rPr>
          <w:rFonts w:ascii="Times New Roman" w:hAnsi="Times New Roman" w:cs="Times New Roman"/>
          <w:sz w:val="20"/>
          <w:szCs w:val="20"/>
        </w:rPr>
        <w:tab/>
      </w:r>
      <w:r w:rsidR="002C45B4">
        <w:rPr>
          <w:rFonts w:ascii="Times New Roman" w:hAnsi="Times New Roman" w:cs="Times New Roman"/>
          <w:sz w:val="20"/>
          <w:szCs w:val="20"/>
        </w:rPr>
        <w:tab/>
        <w:t xml:space="preserve">  23.49</w:t>
      </w:r>
      <w:r w:rsidR="002C45B4">
        <w:rPr>
          <w:rFonts w:ascii="Times New Roman" w:hAnsi="Times New Roman" w:cs="Times New Roman"/>
          <w:sz w:val="20"/>
          <w:szCs w:val="20"/>
        </w:rPr>
        <w:tab/>
      </w:r>
      <w:r w:rsidR="002C45B4">
        <w:rPr>
          <w:rFonts w:ascii="Times New Roman" w:hAnsi="Times New Roman" w:cs="Times New Roman"/>
          <w:sz w:val="20"/>
          <w:szCs w:val="20"/>
        </w:rPr>
        <w:tab/>
        <w:t xml:space="preserve">  35.84</w:t>
      </w:r>
      <w:r w:rsidR="002C45B4">
        <w:rPr>
          <w:rFonts w:ascii="Times New Roman" w:hAnsi="Times New Roman" w:cs="Times New Roman"/>
          <w:sz w:val="20"/>
          <w:szCs w:val="20"/>
        </w:rPr>
        <w:tab/>
      </w:r>
      <w:r w:rsidR="002C45B4">
        <w:rPr>
          <w:rFonts w:ascii="Times New Roman" w:hAnsi="Times New Roman" w:cs="Times New Roman"/>
          <w:sz w:val="20"/>
          <w:szCs w:val="20"/>
        </w:rPr>
        <w:tab/>
        <w:t xml:space="preserve"> 199.11</w:t>
      </w:r>
    </w:p>
    <w:p w:rsidR="009F5DAD" w:rsidRPr="002C45B4" w:rsidRDefault="009F5DAD" w:rsidP="00E82E5E">
      <w:pPr>
        <w:spacing w:line="240" w:lineRule="auto"/>
        <w:rPr>
          <w:rFonts w:ascii="Times New Roman" w:hAnsi="Times New Roman" w:cs="Times New Roman"/>
          <w:sz w:val="20"/>
          <w:szCs w:val="20"/>
        </w:rPr>
      </w:pPr>
      <w:r w:rsidRPr="002C45B4">
        <w:rPr>
          <w:rFonts w:ascii="Times New Roman" w:hAnsi="Times New Roman" w:cs="Times New Roman"/>
          <w:sz w:val="20"/>
          <w:szCs w:val="20"/>
        </w:rPr>
        <w:t>Retained Earnings (deficit)</w:t>
      </w:r>
      <w:r w:rsidR="002C45B4">
        <w:rPr>
          <w:rFonts w:ascii="Times New Roman" w:hAnsi="Times New Roman" w:cs="Times New Roman"/>
          <w:sz w:val="20"/>
          <w:szCs w:val="20"/>
        </w:rPr>
        <w:tab/>
      </w:r>
      <w:r w:rsidR="002C45B4">
        <w:rPr>
          <w:rFonts w:ascii="Times New Roman" w:hAnsi="Times New Roman" w:cs="Times New Roman"/>
          <w:sz w:val="20"/>
          <w:szCs w:val="20"/>
        </w:rPr>
        <w:tab/>
        <w:t xml:space="preserve">  16.08</w:t>
      </w:r>
      <w:r w:rsidR="002C45B4">
        <w:rPr>
          <w:rFonts w:ascii="Times New Roman" w:hAnsi="Times New Roman" w:cs="Times New Roman"/>
          <w:sz w:val="20"/>
          <w:szCs w:val="20"/>
        </w:rPr>
        <w:tab/>
      </w:r>
      <w:r w:rsidR="002C45B4">
        <w:rPr>
          <w:rFonts w:ascii="Times New Roman" w:hAnsi="Times New Roman" w:cs="Times New Roman"/>
          <w:sz w:val="20"/>
          <w:szCs w:val="20"/>
        </w:rPr>
        <w:tab/>
        <w:t xml:space="preserve">  18.98</w:t>
      </w:r>
      <w:r w:rsidR="002C45B4">
        <w:rPr>
          <w:rFonts w:ascii="Times New Roman" w:hAnsi="Times New Roman" w:cs="Times New Roman"/>
          <w:sz w:val="20"/>
          <w:szCs w:val="20"/>
        </w:rPr>
        <w:tab/>
      </w:r>
      <w:r w:rsidR="002C45B4">
        <w:rPr>
          <w:rFonts w:ascii="Times New Roman" w:hAnsi="Times New Roman" w:cs="Times New Roman"/>
          <w:sz w:val="20"/>
          <w:szCs w:val="20"/>
        </w:rPr>
        <w:tab/>
        <w:t xml:space="preserve">  </w:t>
      </w:r>
      <w:r w:rsidR="00EB3082">
        <w:rPr>
          <w:rFonts w:ascii="Times New Roman" w:hAnsi="Times New Roman" w:cs="Times New Roman"/>
          <w:sz w:val="20"/>
          <w:szCs w:val="20"/>
        </w:rPr>
        <w:t xml:space="preserve"> </w:t>
      </w:r>
      <w:r w:rsidR="002C45B4">
        <w:rPr>
          <w:rFonts w:ascii="Times New Roman" w:hAnsi="Times New Roman" w:cs="Times New Roman"/>
          <w:sz w:val="20"/>
          <w:szCs w:val="20"/>
        </w:rPr>
        <w:t xml:space="preserve"> 2.56</w:t>
      </w:r>
      <w:r w:rsidR="002C45B4">
        <w:rPr>
          <w:rFonts w:ascii="Times New Roman" w:hAnsi="Times New Roman" w:cs="Times New Roman"/>
          <w:sz w:val="20"/>
          <w:szCs w:val="20"/>
        </w:rPr>
        <w:tab/>
      </w:r>
      <w:r w:rsidR="002C45B4">
        <w:rPr>
          <w:rFonts w:ascii="Times New Roman" w:hAnsi="Times New Roman" w:cs="Times New Roman"/>
          <w:sz w:val="20"/>
          <w:szCs w:val="20"/>
        </w:rPr>
        <w:tab/>
        <w:t>(147.80)</w:t>
      </w:r>
    </w:p>
    <w:p w:rsidR="009F5DAD" w:rsidRPr="002C45B4" w:rsidRDefault="009F5DAD" w:rsidP="00E82E5E">
      <w:pPr>
        <w:spacing w:line="240" w:lineRule="auto"/>
        <w:rPr>
          <w:rFonts w:ascii="Times New Roman" w:hAnsi="Times New Roman" w:cs="Times New Roman"/>
          <w:sz w:val="20"/>
          <w:szCs w:val="20"/>
          <w:u w:val="double"/>
        </w:rPr>
      </w:pPr>
      <w:r w:rsidRPr="002C45B4">
        <w:rPr>
          <w:rFonts w:ascii="Times New Roman" w:hAnsi="Times New Roman" w:cs="Times New Roman"/>
          <w:sz w:val="20"/>
          <w:szCs w:val="20"/>
        </w:rPr>
        <w:t>Total liabilities and stockholders’ equity</w:t>
      </w:r>
      <w:r w:rsidRPr="002C45B4">
        <w:rPr>
          <w:rFonts w:ascii="Times New Roman" w:hAnsi="Times New Roman" w:cs="Times New Roman"/>
          <w:sz w:val="20"/>
          <w:szCs w:val="20"/>
        </w:rPr>
        <w:tab/>
      </w:r>
      <w:r w:rsidRPr="002C45B4">
        <w:rPr>
          <w:rFonts w:ascii="Times New Roman" w:hAnsi="Times New Roman" w:cs="Times New Roman"/>
          <w:sz w:val="20"/>
          <w:szCs w:val="20"/>
          <w:u w:val="double"/>
        </w:rPr>
        <w:t>100.00%</w:t>
      </w:r>
      <w:r w:rsidRPr="002C45B4">
        <w:rPr>
          <w:rFonts w:ascii="Times New Roman" w:hAnsi="Times New Roman" w:cs="Times New Roman"/>
          <w:sz w:val="20"/>
          <w:szCs w:val="20"/>
          <w:u w:val="double"/>
        </w:rPr>
        <w:tab/>
      </w:r>
      <w:r w:rsidR="002C45B4">
        <w:rPr>
          <w:rFonts w:ascii="Times New Roman" w:hAnsi="Times New Roman" w:cs="Times New Roman"/>
          <w:sz w:val="20"/>
          <w:szCs w:val="20"/>
        </w:rPr>
        <w:tab/>
      </w:r>
      <w:r w:rsidRPr="002C45B4">
        <w:rPr>
          <w:rFonts w:ascii="Times New Roman" w:hAnsi="Times New Roman" w:cs="Times New Roman"/>
          <w:sz w:val="20"/>
          <w:szCs w:val="20"/>
          <w:u w:val="double"/>
        </w:rPr>
        <w:t>100.00%</w:t>
      </w:r>
      <w:r w:rsidRPr="002C45B4">
        <w:rPr>
          <w:rFonts w:ascii="Times New Roman" w:hAnsi="Times New Roman" w:cs="Times New Roman"/>
          <w:sz w:val="20"/>
          <w:szCs w:val="20"/>
          <w:u w:val="double"/>
        </w:rPr>
        <w:tab/>
      </w:r>
      <w:r w:rsidR="002C45B4">
        <w:rPr>
          <w:rFonts w:ascii="Times New Roman" w:hAnsi="Times New Roman" w:cs="Times New Roman"/>
          <w:sz w:val="20"/>
          <w:szCs w:val="20"/>
        </w:rPr>
        <w:tab/>
      </w:r>
      <w:r w:rsidRPr="002C45B4">
        <w:rPr>
          <w:rFonts w:ascii="Times New Roman" w:hAnsi="Times New Roman" w:cs="Times New Roman"/>
          <w:sz w:val="20"/>
          <w:szCs w:val="20"/>
          <w:u w:val="double"/>
        </w:rPr>
        <w:t>100.00%</w:t>
      </w:r>
      <w:r w:rsidRPr="002C45B4">
        <w:rPr>
          <w:rFonts w:ascii="Times New Roman" w:hAnsi="Times New Roman" w:cs="Times New Roman"/>
          <w:sz w:val="20"/>
          <w:szCs w:val="20"/>
          <w:u w:val="double"/>
        </w:rPr>
        <w:tab/>
      </w:r>
      <w:r w:rsidR="002C45B4">
        <w:rPr>
          <w:rFonts w:ascii="Times New Roman" w:hAnsi="Times New Roman" w:cs="Times New Roman"/>
          <w:sz w:val="20"/>
          <w:szCs w:val="20"/>
        </w:rPr>
        <w:tab/>
      </w:r>
      <w:r w:rsidRPr="002C45B4">
        <w:rPr>
          <w:rFonts w:ascii="Times New Roman" w:hAnsi="Times New Roman" w:cs="Times New Roman"/>
          <w:sz w:val="20"/>
          <w:szCs w:val="20"/>
          <w:u w:val="double"/>
        </w:rPr>
        <w:t>100.00%</w:t>
      </w:r>
    </w:p>
    <w:p w:rsidR="00E82E5E" w:rsidRPr="001F6A6D" w:rsidRDefault="009F5DAD" w:rsidP="00E82E5E">
      <w:pPr>
        <w:spacing w:line="240" w:lineRule="auto"/>
        <w:rPr>
          <w:rFonts w:ascii="Times New Roman" w:hAnsi="Times New Roman" w:cs="Times New Roman"/>
          <w:sz w:val="24"/>
          <w:szCs w:val="24"/>
        </w:rPr>
      </w:pPr>
      <w:r w:rsidRPr="002C45B4">
        <w:rPr>
          <w:rFonts w:ascii="Times New Roman" w:hAnsi="Times New Roman" w:cs="Times New Roman"/>
          <w:sz w:val="20"/>
          <w:szCs w:val="20"/>
        </w:rPr>
        <w:t>*Net of cost of shares repurchased for treasury and other comprehensive income items.</w:t>
      </w:r>
      <w:bookmarkStart w:id="0" w:name="_GoBack"/>
      <w:bookmarkEnd w:id="0"/>
    </w:p>
    <w:sectPr w:rsidR="00E82E5E" w:rsidRPr="001F6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D0" w:rsidRDefault="00C813D0" w:rsidP="00AB0B18">
      <w:pPr>
        <w:spacing w:after="0" w:line="240" w:lineRule="auto"/>
      </w:pPr>
      <w:r>
        <w:separator/>
      </w:r>
    </w:p>
  </w:endnote>
  <w:endnote w:type="continuationSeparator" w:id="0">
    <w:p w:rsidR="00C813D0" w:rsidRDefault="00C813D0" w:rsidP="00AB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D0" w:rsidRDefault="00C813D0" w:rsidP="00AB0B18">
      <w:pPr>
        <w:spacing w:after="0" w:line="240" w:lineRule="auto"/>
      </w:pPr>
      <w:r>
        <w:separator/>
      </w:r>
    </w:p>
  </w:footnote>
  <w:footnote w:type="continuationSeparator" w:id="0">
    <w:p w:rsidR="00C813D0" w:rsidRDefault="00C813D0" w:rsidP="00AB0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6D"/>
    <w:rsid w:val="00153ED2"/>
    <w:rsid w:val="001573B2"/>
    <w:rsid w:val="001F6A6D"/>
    <w:rsid w:val="002C45B4"/>
    <w:rsid w:val="00574E48"/>
    <w:rsid w:val="00690F3B"/>
    <w:rsid w:val="006A74A8"/>
    <w:rsid w:val="007A20C5"/>
    <w:rsid w:val="007E4714"/>
    <w:rsid w:val="008E3D35"/>
    <w:rsid w:val="009F5DAD"/>
    <w:rsid w:val="00AB0B18"/>
    <w:rsid w:val="00C813D0"/>
    <w:rsid w:val="00E751D8"/>
    <w:rsid w:val="00E82E5E"/>
    <w:rsid w:val="00EB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18"/>
  </w:style>
  <w:style w:type="paragraph" w:styleId="Footer">
    <w:name w:val="footer"/>
    <w:basedOn w:val="Normal"/>
    <w:link w:val="FooterChar"/>
    <w:uiPriority w:val="99"/>
    <w:unhideWhenUsed/>
    <w:rsid w:val="00AB0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18"/>
  </w:style>
  <w:style w:type="paragraph" w:styleId="Footer">
    <w:name w:val="footer"/>
    <w:basedOn w:val="Normal"/>
    <w:link w:val="FooterChar"/>
    <w:uiPriority w:val="99"/>
    <w:unhideWhenUsed/>
    <w:rsid w:val="00AB0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2014-03-15T05:30:00Z</dcterms:created>
  <dcterms:modified xsi:type="dcterms:W3CDTF">2014-03-15T05:30:00Z</dcterms:modified>
</cp:coreProperties>
</file>