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DD" w:rsidRDefault="00EC68DD" w:rsidP="005F7024">
      <w:pPr>
        <w:spacing w:after="0" w:line="240" w:lineRule="auto"/>
      </w:pPr>
      <w:r>
        <w:t>Which Job? Are You Sure? “Wow, you mean you have three job offers? How did that happen?” “I’m not quite sure, Joan,” responded Alexia. “I guess I just carefully prepared for my job search.” “</w:t>
      </w:r>
      <w:proofErr w:type="spellStart"/>
      <w:r>
        <w:t>Ahhh</w:t>
      </w:r>
      <w:proofErr w:type="spellEnd"/>
      <w:r>
        <w:t xml:space="preserve"> . . . could you be a bit more specific for those of us who have no job offers?” asked Joan. “After researching various organizations, I tried to match my abilities and experiences to their needs,” Alexia continued. “Then, in addition to my résumé, I sent a portfolio with samples of my research work and creative projects.” “OK, Alex, which of the three jobs are you going to take?” asked Joan. “Again, I’m not quite sure. I’ve created a comparison of the three to help me decide,” Alexia replied. “Let me see that!” exclaimed Joan. “Wow, you take this career search stuff seriously!” </w:t>
      </w:r>
    </w:p>
    <w:p w:rsidR="00EC68DD" w:rsidRDefault="00EC68DD" w:rsidP="005F7024">
      <w:pPr>
        <w:spacing w:after="0" w:line="240" w:lineRule="auto"/>
      </w:pPr>
    </w:p>
    <w:p w:rsidR="00EC68DD" w:rsidRDefault="00EC68DD" w:rsidP="005F7024">
      <w:pPr>
        <w:spacing w:after="0" w:line="240" w:lineRule="auto"/>
      </w:pPr>
    </w:p>
    <w:p w:rsidR="00EC68DD" w:rsidRDefault="00EC68DD" w:rsidP="005F7024">
      <w:pPr>
        <w:spacing w:after="0" w:line="240" w:lineRule="auto"/>
      </w:pPr>
    </w:p>
    <w:tbl>
      <w:tblPr>
        <w:tblStyle w:val="TableGrid"/>
        <w:tblpPr w:leftFromText="180" w:rightFromText="180" w:vertAnchor="text" w:horzAnchor="margin" w:tblpY="80"/>
        <w:tblW w:w="0" w:type="auto"/>
        <w:tblLook w:val="04A0"/>
      </w:tblPr>
      <w:tblGrid>
        <w:gridCol w:w="2394"/>
        <w:gridCol w:w="2394"/>
        <w:gridCol w:w="2394"/>
        <w:gridCol w:w="2394"/>
      </w:tblGrid>
      <w:tr w:rsidR="00EC68DD" w:rsidTr="00EC68DD">
        <w:tc>
          <w:tcPr>
            <w:tcW w:w="2394" w:type="dxa"/>
          </w:tcPr>
          <w:p w:rsidR="00EC68DD" w:rsidRPr="00EC68DD" w:rsidRDefault="00EC68DD" w:rsidP="00EC68DD">
            <w:pPr>
              <w:rPr>
                <w:b/>
              </w:rPr>
            </w:pPr>
            <w:r w:rsidRPr="00EC68DD">
              <w:rPr>
                <w:b/>
              </w:rPr>
              <w:t>Job Offer Comparison</w:t>
            </w:r>
          </w:p>
          <w:p w:rsidR="00EC68DD" w:rsidRPr="00EC68DD" w:rsidRDefault="00EC68DD" w:rsidP="00EC68DD">
            <w:pPr>
              <w:rPr>
                <w:rFonts w:ascii="Arial" w:hAnsi="Arial" w:cs="Arial"/>
                <w:b/>
              </w:rPr>
            </w:pPr>
          </w:p>
        </w:tc>
        <w:tc>
          <w:tcPr>
            <w:tcW w:w="2394" w:type="dxa"/>
          </w:tcPr>
          <w:p w:rsidR="00EC68DD" w:rsidRPr="00EC68DD" w:rsidRDefault="00EC68DD" w:rsidP="00EC68DD">
            <w:pPr>
              <w:rPr>
                <w:b/>
              </w:rPr>
            </w:pPr>
            <w:r w:rsidRPr="00EC68DD">
              <w:rPr>
                <w:b/>
              </w:rPr>
              <w:t>Position A</w:t>
            </w:r>
          </w:p>
          <w:p w:rsidR="00EC68DD" w:rsidRPr="00EC68DD" w:rsidRDefault="00EC68DD" w:rsidP="00EC68DD">
            <w:pPr>
              <w:rPr>
                <w:rFonts w:ascii="Arial" w:hAnsi="Arial" w:cs="Arial"/>
                <w:b/>
              </w:rPr>
            </w:pPr>
          </w:p>
        </w:tc>
        <w:tc>
          <w:tcPr>
            <w:tcW w:w="2394" w:type="dxa"/>
          </w:tcPr>
          <w:p w:rsidR="00EC68DD" w:rsidRPr="00EC68DD" w:rsidRDefault="00EC68DD" w:rsidP="00EC68DD">
            <w:pPr>
              <w:rPr>
                <w:rFonts w:ascii="Arial" w:hAnsi="Arial" w:cs="Arial"/>
                <w:b/>
              </w:rPr>
            </w:pPr>
            <w:r w:rsidRPr="00EC68DD">
              <w:rPr>
                <w:b/>
              </w:rPr>
              <w:t>Position B</w:t>
            </w:r>
          </w:p>
        </w:tc>
        <w:tc>
          <w:tcPr>
            <w:tcW w:w="2394" w:type="dxa"/>
          </w:tcPr>
          <w:p w:rsidR="00EC68DD" w:rsidRPr="00EC68DD" w:rsidRDefault="00EC68DD" w:rsidP="00EC68DD">
            <w:pPr>
              <w:rPr>
                <w:rFonts w:ascii="Arial" w:hAnsi="Arial" w:cs="Arial"/>
                <w:b/>
              </w:rPr>
            </w:pPr>
            <w:r w:rsidRPr="00EC68DD">
              <w:rPr>
                <w:b/>
              </w:rPr>
              <w:t>Position C</w:t>
            </w:r>
          </w:p>
        </w:tc>
      </w:tr>
      <w:tr w:rsidR="00EC68DD" w:rsidTr="00EC68DD">
        <w:tc>
          <w:tcPr>
            <w:tcW w:w="2394" w:type="dxa"/>
          </w:tcPr>
          <w:p w:rsidR="00EC68DD" w:rsidRDefault="00EC68DD" w:rsidP="00EC68DD">
            <w:pPr>
              <w:rPr>
                <w:rFonts w:ascii="Arial" w:hAnsi="Arial" w:cs="Arial"/>
              </w:rPr>
            </w:pPr>
            <w:r>
              <w:t>Position description, organization</w:t>
            </w:r>
          </w:p>
        </w:tc>
        <w:tc>
          <w:tcPr>
            <w:tcW w:w="2394" w:type="dxa"/>
          </w:tcPr>
          <w:p w:rsidR="00EC68DD" w:rsidRDefault="00EC68DD" w:rsidP="00EC68DD">
            <w:pPr>
              <w:rPr>
                <w:rFonts w:ascii="Arial" w:hAnsi="Arial" w:cs="Arial"/>
              </w:rPr>
            </w:pPr>
            <w:r>
              <w:t>Advertising account assistant for international promotions with global company with offices in 17 countries.</w:t>
            </w:r>
          </w:p>
        </w:tc>
        <w:tc>
          <w:tcPr>
            <w:tcW w:w="2394" w:type="dxa"/>
          </w:tcPr>
          <w:p w:rsidR="00EC68DD" w:rsidRDefault="00EC68DD" w:rsidP="00EC68DD">
            <w:pPr>
              <w:rPr>
                <w:rFonts w:ascii="Arial" w:hAnsi="Arial" w:cs="Arial"/>
              </w:rPr>
            </w:pPr>
            <w:r>
              <w:t>Marketing assistant for a medium-sized equipment company; sales offices in eight states in south-east United States.</w:t>
            </w:r>
          </w:p>
        </w:tc>
        <w:tc>
          <w:tcPr>
            <w:tcW w:w="2394" w:type="dxa"/>
          </w:tcPr>
          <w:p w:rsidR="00EC68DD" w:rsidRDefault="00EC68DD" w:rsidP="00EC68DD">
            <w:pPr>
              <w:rPr>
                <w:rFonts w:ascii="Arial" w:hAnsi="Arial" w:cs="Arial"/>
              </w:rPr>
            </w:pPr>
            <w:r>
              <w:t>Public relations director in local office of national non-profit organization assisting low-income families with food and housing.</w:t>
            </w:r>
          </w:p>
        </w:tc>
      </w:tr>
      <w:tr w:rsidR="00EC68DD" w:rsidTr="00EC68DD">
        <w:tc>
          <w:tcPr>
            <w:tcW w:w="2394" w:type="dxa"/>
          </w:tcPr>
          <w:p w:rsidR="00EC68DD" w:rsidRDefault="00EC68DD" w:rsidP="00EC68DD">
            <w:pPr>
              <w:rPr>
                <w:rFonts w:ascii="Arial" w:hAnsi="Arial" w:cs="Arial"/>
              </w:rPr>
            </w:pPr>
            <w:r>
              <w:t>Salary situation</w:t>
            </w:r>
          </w:p>
        </w:tc>
        <w:tc>
          <w:tcPr>
            <w:tcW w:w="2394" w:type="dxa"/>
          </w:tcPr>
          <w:p w:rsidR="00EC68DD" w:rsidRDefault="00EC68DD" w:rsidP="00EC68DD">
            <w:pPr>
              <w:rPr>
                <w:rFonts w:ascii="Arial" w:hAnsi="Arial" w:cs="Arial"/>
              </w:rPr>
            </w:pPr>
            <w:r>
              <w:t>$36,000; performance reviews and salary increases every six months for first two years, then annually.</w:t>
            </w:r>
          </w:p>
        </w:tc>
        <w:tc>
          <w:tcPr>
            <w:tcW w:w="2394" w:type="dxa"/>
          </w:tcPr>
          <w:p w:rsidR="00EC68DD" w:rsidRDefault="00EC68DD" w:rsidP="00EC68DD">
            <w:pPr>
              <w:rPr>
                <w:rFonts w:ascii="Arial" w:hAnsi="Arial" w:cs="Arial"/>
              </w:rPr>
            </w:pPr>
            <w:r>
              <w:t>$33,500; annual bonus based on percentage of company sales increase.</w:t>
            </w:r>
          </w:p>
        </w:tc>
        <w:tc>
          <w:tcPr>
            <w:tcW w:w="2394" w:type="dxa"/>
          </w:tcPr>
          <w:p w:rsidR="00EC68DD" w:rsidRDefault="00EC68DD" w:rsidP="00EC68DD">
            <w:pPr>
              <w:rPr>
                <w:rFonts w:ascii="Arial" w:hAnsi="Arial" w:cs="Arial"/>
              </w:rPr>
            </w:pPr>
            <w:r>
              <w:t>$28,500, with annual salary increases of 3 to 5 percent.</w:t>
            </w:r>
          </w:p>
        </w:tc>
      </w:tr>
      <w:tr w:rsidR="00EC68DD" w:rsidTr="00EC68DD">
        <w:tc>
          <w:tcPr>
            <w:tcW w:w="2394" w:type="dxa"/>
          </w:tcPr>
          <w:p w:rsidR="00EC68DD" w:rsidRDefault="00EC68DD" w:rsidP="00EC68DD">
            <w:pPr>
              <w:rPr>
                <w:rFonts w:ascii="Arial" w:hAnsi="Arial" w:cs="Arial"/>
              </w:rPr>
            </w:pPr>
            <w:r>
              <w:t>Vacation time (paid)/year</w:t>
            </w:r>
          </w:p>
        </w:tc>
        <w:tc>
          <w:tcPr>
            <w:tcW w:w="2394" w:type="dxa"/>
          </w:tcPr>
          <w:p w:rsidR="00EC68DD" w:rsidRDefault="00EC68DD" w:rsidP="00EC68DD">
            <w:pPr>
              <w:rPr>
                <w:rFonts w:ascii="Arial" w:hAnsi="Arial" w:cs="Arial"/>
              </w:rPr>
            </w:pPr>
            <w:r>
              <w:t>Two weeks (first year); additional two days for each year of service.</w:t>
            </w:r>
          </w:p>
        </w:tc>
        <w:tc>
          <w:tcPr>
            <w:tcW w:w="2394" w:type="dxa"/>
          </w:tcPr>
          <w:p w:rsidR="00EC68DD" w:rsidRDefault="00EC68DD" w:rsidP="00EC68DD">
            <w:pPr>
              <w:rPr>
                <w:rFonts w:ascii="Arial" w:hAnsi="Arial" w:cs="Arial"/>
              </w:rPr>
            </w:pPr>
            <w:r>
              <w:t>One week after six months on the job; two additional days for each six months of service.</w:t>
            </w:r>
          </w:p>
        </w:tc>
        <w:tc>
          <w:tcPr>
            <w:tcW w:w="2394" w:type="dxa"/>
          </w:tcPr>
          <w:p w:rsidR="00EC68DD" w:rsidRDefault="00EC68DD" w:rsidP="00EC68DD">
            <w:pPr>
              <w:rPr>
                <w:rFonts w:ascii="Arial" w:hAnsi="Arial" w:cs="Arial"/>
              </w:rPr>
            </w:pPr>
            <w:r>
              <w:t>Two weeks (paid); additional unpaid leave time up to four weeks a year.</w:t>
            </w:r>
          </w:p>
        </w:tc>
      </w:tr>
      <w:tr w:rsidR="00EC68DD" w:rsidTr="00EC68DD">
        <w:tc>
          <w:tcPr>
            <w:tcW w:w="2394" w:type="dxa"/>
          </w:tcPr>
          <w:p w:rsidR="00EC68DD" w:rsidRDefault="00EC68DD" w:rsidP="00EC68DD">
            <w:pPr>
              <w:rPr>
                <w:rFonts w:ascii="Arial" w:hAnsi="Arial" w:cs="Arial"/>
              </w:rPr>
            </w:pPr>
            <w:r>
              <w:t>Health insurance coverage</w:t>
            </w:r>
          </w:p>
        </w:tc>
        <w:tc>
          <w:tcPr>
            <w:tcW w:w="2394" w:type="dxa"/>
          </w:tcPr>
          <w:p w:rsidR="00EC68DD" w:rsidRDefault="00EC68DD" w:rsidP="00EC68DD">
            <w:pPr>
              <w:rPr>
                <w:rFonts w:ascii="Arial" w:hAnsi="Arial" w:cs="Arial"/>
              </w:rPr>
            </w:pPr>
            <w:r>
              <w:t>Employer pays 80 percent of health premiums for doctors on list of insurance company.</w:t>
            </w:r>
          </w:p>
        </w:tc>
        <w:tc>
          <w:tcPr>
            <w:tcW w:w="2394" w:type="dxa"/>
          </w:tcPr>
          <w:p w:rsidR="00EC68DD" w:rsidRDefault="00EC68DD" w:rsidP="00EC68DD">
            <w:pPr>
              <w:rPr>
                <w:rFonts w:ascii="Arial" w:hAnsi="Arial" w:cs="Arial"/>
              </w:rPr>
            </w:pPr>
            <w:r>
              <w:t>Employer pays for HMO coverage with some flexibility of doctors.</w:t>
            </w:r>
          </w:p>
        </w:tc>
        <w:tc>
          <w:tcPr>
            <w:tcW w:w="2394" w:type="dxa"/>
          </w:tcPr>
          <w:p w:rsidR="00EC68DD" w:rsidRDefault="00EC68DD" w:rsidP="00EC68DD">
            <w:pPr>
              <w:rPr>
                <w:rFonts w:ascii="Arial" w:hAnsi="Arial" w:cs="Arial"/>
              </w:rPr>
            </w:pPr>
            <w:r>
              <w:t>Employer pays 60 per-cent of health premiums; employee selects own doctor.</w:t>
            </w:r>
          </w:p>
        </w:tc>
      </w:tr>
      <w:tr w:rsidR="00EC68DD" w:rsidTr="00EC68DD">
        <w:tc>
          <w:tcPr>
            <w:tcW w:w="2394" w:type="dxa"/>
          </w:tcPr>
          <w:p w:rsidR="00EC68DD" w:rsidRDefault="00EC68DD" w:rsidP="00EC68DD">
            <w:pPr>
              <w:rPr>
                <w:rFonts w:ascii="Arial" w:hAnsi="Arial" w:cs="Arial"/>
              </w:rPr>
            </w:pPr>
            <w:r>
              <w:t>Retirement fund</w:t>
            </w:r>
          </w:p>
        </w:tc>
        <w:tc>
          <w:tcPr>
            <w:tcW w:w="2394" w:type="dxa"/>
          </w:tcPr>
          <w:p w:rsidR="00EC68DD" w:rsidRDefault="00EC68DD" w:rsidP="00EC68DD">
            <w:pPr>
              <w:rPr>
                <w:rFonts w:ascii="Arial" w:hAnsi="Arial" w:cs="Arial"/>
              </w:rPr>
            </w:pPr>
            <w:r>
              <w:t>Employer contributes 5 percent of salary; additional contributions allowed.</w:t>
            </w:r>
          </w:p>
        </w:tc>
        <w:tc>
          <w:tcPr>
            <w:tcW w:w="2394" w:type="dxa"/>
          </w:tcPr>
          <w:p w:rsidR="00EC68DD" w:rsidRDefault="00EC68DD" w:rsidP="00EC68DD">
            <w:pPr>
              <w:rPr>
                <w:rFonts w:ascii="Arial" w:hAnsi="Arial" w:cs="Arial"/>
              </w:rPr>
            </w:pPr>
            <w:r>
              <w:t>Employer matches employee contributions (up to 10 percent).</w:t>
            </w:r>
          </w:p>
        </w:tc>
        <w:tc>
          <w:tcPr>
            <w:tcW w:w="2394" w:type="dxa"/>
          </w:tcPr>
          <w:p w:rsidR="00EC68DD" w:rsidRDefault="00EC68DD" w:rsidP="00EC68DD">
            <w:pPr>
              <w:rPr>
                <w:rFonts w:ascii="Arial" w:hAnsi="Arial" w:cs="Arial"/>
              </w:rPr>
            </w:pPr>
            <w:r>
              <w:t>Employer pays 2 percent of salary; employee may make tax-deferred contributions.</w:t>
            </w:r>
          </w:p>
        </w:tc>
      </w:tr>
      <w:tr w:rsidR="00EC68DD" w:rsidTr="00EC68DD">
        <w:tc>
          <w:tcPr>
            <w:tcW w:w="2394" w:type="dxa"/>
          </w:tcPr>
          <w:p w:rsidR="00EC68DD" w:rsidRDefault="00EC68DD" w:rsidP="00EC68DD">
            <w:pPr>
              <w:rPr>
                <w:rFonts w:ascii="Arial" w:hAnsi="Arial" w:cs="Arial"/>
              </w:rPr>
            </w:pPr>
            <w:r>
              <w:t>Educational opportunities</w:t>
            </w:r>
          </w:p>
        </w:tc>
        <w:tc>
          <w:tcPr>
            <w:tcW w:w="2394" w:type="dxa"/>
          </w:tcPr>
          <w:p w:rsidR="00EC68DD" w:rsidRDefault="00EC68DD" w:rsidP="00EC68DD">
            <w:pPr>
              <w:rPr>
                <w:rFonts w:ascii="Arial" w:hAnsi="Arial" w:cs="Arial"/>
              </w:rPr>
            </w:pPr>
            <w:r>
              <w:t>On-site training seminars to update employees on global cultures and advertising trends.</w:t>
            </w:r>
          </w:p>
        </w:tc>
        <w:tc>
          <w:tcPr>
            <w:tcW w:w="2394" w:type="dxa"/>
          </w:tcPr>
          <w:p w:rsidR="00EC68DD" w:rsidRDefault="00EC68DD" w:rsidP="00EC68DD">
            <w:pPr>
              <w:rPr>
                <w:rFonts w:ascii="Arial" w:hAnsi="Arial" w:cs="Arial"/>
              </w:rPr>
            </w:pPr>
            <w:r>
              <w:t>Tuition reimbursement (up to $4,000 a year) for graduate courses.</w:t>
            </w:r>
          </w:p>
        </w:tc>
        <w:tc>
          <w:tcPr>
            <w:tcW w:w="2394" w:type="dxa"/>
          </w:tcPr>
          <w:p w:rsidR="00EC68DD" w:rsidRDefault="00EC68DD" w:rsidP="00EC68DD">
            <w:r>
              <w:t xml:space="preserve">Two trips a year to seminars topics related to non-profit organizations. </w:t>
            </w:r>
          </w:p>
          <w:p w:rsidR="00EC68DD" w:rsidRDefault="00EC68DD" w:rsidP="00EC68DD">
            <w:pPr>
              <w:rPr>
                <w:rFonts w:ascii="Arial" w:hAnsi="Arial" w:cs="Arial"/>
              </w:rPr>
            </w:pPr>
          </w:p>
        </w:tc>
      </w:tr>
    </w:tbl>
    <w:p w:rsidR="00EC68DD" w:rsidRDefault="00EC68DD" w:rsidP="005F7024">
      <w:pPr>
        <w:spacing w:after="0" w:line="240" w:lineRule="auto"/>
      </w:pPr>
    </w:p>
    <w:p w:rsidR="00EC68DD" w:rsidRDefault="00EC68DD" w:rsidP="005F7024">
      <w:pPr>
        <w:spacing w:after="0" w:line="240" w:lineRule="auto"/>
      </w:pPr>
    </w:p>
    <w:p w:rsidR="00EC68DD" w:rsidRDefault="00EC68DD" w:rsidP="005F7024">
      <w:pPr>
        <w:spacing w:after="0" w:line="240" w:lineRule="auto"/>
      </w:pPr>
    </w:p>
    <w:p w:rsidR="00EC68DD" w:rsidRDefault="00EC68DD" w:rsidP="005F7024">
      <w:pPr>
        <w:spacing w:after="0" w:line="240" w:lineRule="auto"/>
      </w:pPr>
    </w:p>
    <w:p w:rsidR="00EC68DD" w:rsidRDefault="00EC68DD" w:rsidP="005F7024">
      <w:pPr>
        <w:spacing w:after="0" w:line="240" w:lineRule="auto"/>
      </w:pPr>
      <w:r>
        <w:lastRenderedPageBreak/>
        <w:t xml:space="preserve">Questions </w:t>
      </w:r>
    </w:p>
    <w:p w:rsidR="00EC68DD" w:rsidRDefault="00EC68DD" w:rsidP="005F7024">
      <w:pPr>
        <w:spacing w:after="0" w:line="240" w:lineRule="auto"/>
      </w:pPr>
    </w:p>
    <w:p w:rsidR="00EC68DD" w:rsidRDefault="00EC68DD" w:rsidP="005F7024">
      <w:pPr>
        <w:spacing w:after="0" w:line="240" w:lineRule="auto"/>
      </w:pPr>
      <w:r>
        <w:t xml:space="preserve">1. What steps might Alexia take when deciding which position to accept? </w:t>
      </w:r>
    </w:p>
    <w:p w:rsidR="00EC68DD" w:rsidRDefault="00EC68DD" w:rsidP="005F7024">
      <w:pPr>
        <w:spacing w:after="0" w:line="240" w:lineRule="auto"/>
      </w:pPr>
    </w:p>
    <w:p w:rsidR="00EC68DD" w:rsidRDefault="00EC68DD" w:rsidP="005F7024">
      <w:pPr>
        <w:spacing w:after="0" w:line="240" w:lineRule="auto"/>
      </w:pPr>
      <w:r>
        <w:t xml:space="preserve">2. What additional factors would you consider when selecting an employment position? </w:t>
      </w:r>
    </w:p>
    <w:p w:rsidR="00EC68DD" w:rsidRDefault="00EC68DD" w:rsidP="005F7024">
      <w:pPr>
        <w:spacing w:after="0" w:line="240" w:lineRule="auto"/>
      </w:pPr>
    </w:p>
    <w:p w:rsidR="00EC68DD" w:rsidRPr="005F7024" w:rsidRDefault="00EC68DD" w:rsidP="005F7024">
      <w:pPr>
        <w:spacing w:after="0" w:line="240" w:lineRule="auto"/>
        <w:rPr>
          <w:rFonts w:ascii="Arial" w:hAnsi="Arial" w:cs="Arial"/>
        </w:rPr>
      </w:pPr>
      <w:r>
        <w:t xml:space="preserve">3. Which employment position would you recommend for her? Why? </w:t>
      </w:r>
    </w:p>
    <w:p w:rsidR="00EC68DD" w:rsidRPr="005F7024" w:rsidRDefault="00EC68DD" w:rsidP="005F7024">
      <w:pPr>
        <w:spacing w:after="0" w:line="240" w:lineRule="auto"/>
        <w:rPr>
          <w:rFonts w:ascii="Arial" w:hAnsi="Arial" w:cs="Arial"/>
        </w:rPr>
      </w:pPr>
    </w:p>
    <w:sectPr w:rsidR="00EC68DD" w:rsidRPr="005F7024" w:rsidSect="00731E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B3D" w:rsidRDefault="002B5B3D" w:rsidP="007C7099">
      <w:pPr>
        <w:spacing w:after="0" w:line="240" w:lineRule="auto"/>
      </w:pPr>
      <w:r>
        <w:separator/>
      </w:r>
    </w:p>
  </w:endnote>
  <w:endnote w:type="continuationSeparator" w:id="0">
    <w:p w:rsidR="002B5B3D" w:rsidRDefault="002B5B3D" w:rsidP="007C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9" w:rsidRDefault="007C7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9" w:rsidRDefault="007C70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9" w:rsidRDefault="007C7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B3D" w:rsidRDefault="002B5B3D" w:rsidP="007C7099">
      <w:pPr>
        <w:spacing w:after="0" w:line="240" w:lineRule="auto"/>
      </w:pPr>
      <w:r>
        <w:separator/>
      </w:r>
    </w:p>
  </w:footnote>
  <w:footnote w:type="continuationSeparator" w:id="0">
    <w:p w:rsidR="002B5B3D" w:rsidRDefault="002B5B3D" w:rsidP="007C7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9" w:rsidRDefault="007C70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9" w:rsidRDefault="007C70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9" w:rsidRDefault="007C70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37922"/>
  </w:hdrShapeDefaults>
  <w:footnotePr>
    <w:footnote w:id="-1"/>
    <w:footnote w:id="0"/>
  </w:footnotePr>
  <w:endnotePr>
    <w:endnote w:id="-1"/>
    <w:endnote w:id="0"/>
  </w:endnotePr>
  <w:compat/>
  <w:rsids>
    <w:rsidRoot w:val="002A08A9"/>
    <w:rsid w:val="000140E9"/>
    <w:rsid w:val="00016195"/>
    <w:rsid w:val="0002512A"/>
    <w:rsid w:val="0003171B"/>
    <w:rsid w:val="00033AB5"/>
    <w:rsid w:val="00060C54"/>
    <w:rsid w:val="000650DC"/>
    <w:rsid w:val="0006750E"/>
    <w:rsid w:val="00067A0D"/>
    <w:rsid w:val="00077801"/>
    <w:rsid w:val="00092A53"/>
    <w:rsid w:val="000D4334"/>
    <w:rsid w:val="000E45F9"/>
    <w:rsid w:val="001052B2"/>
    <w:rsid w:val="001317A3"/>
    <w:rsid w:val="00136231"/>
    <w:rsid w:val="0015220D"/>
    <w:rsid w:val="00170803"/>
    <w:rsid w:val="00170A8C"/>
    <w:rsid w:val="00174226"/>
    <w:rsid w:val="0018227E"/>
    <w:rsid w:val="00196F46"/>
    <w:rsid w:val="001A0143"/>
    <w:rsid w:val="001A3985"/>
    <w:rsid w:val="001A7C39"/>
    <w:rsid w:val="001B241A"/>
    <w:rsid w:val="001C6D71"/>
    <w:rsid w:val="001D66DC"/>
    <w:rsid w:val="001E0EB5"/>
    <w:rsid w:val="001E66DA"/>
    <w:rsid w:val="00201D8A"/>
    <w:rsid w:val="002164EA"/>
    <w:rsid w:val="0021720C"/>
    <w:rsid w:val="002243BA"/>
    <w:rsid w:val="002406E7"/>
    <w:rsid w:val="0025068A"/>
    <w:rsid w:val="00251398"/>
    <w:rsid w:val="00265B28"/>
    <w:rsid w:val="00286863"/>
    <w:rsid w:val="00286A89"/>
    <w:rsid w:val="002A08A9"/>
    <w:rsid w:val="002B5B3D"/>
    <w:rsid w:val="002B6BF5"/>
    <w:rsid w:val="002C102D"/>
    <w:rsid w:val="002C7F6F"/>
    <w:rsid w:val="002E6803"/>
    <w:rsid w:val="002F66F5"/>
    <w:rsid w:val="002F71D4"/>
    <w:rsid w:val="00302F47"/>
    <w:rsid w:val="003039A8"/>
    <w:rsid w:val="0031703E"/>
    <w:rsid w:val="003345F6"/>
    <w:rsid w:val="0034104B"/>
    <w:rsid w:val="00351FB4"/>
    <w:rsid w:val="003606D3"/>
    <w:rsid w:val="003676EA"/>
    <w:rsid w:val="003723A1"/>
    <w:rsid w:val="00372D1B"/>
    <w:rsid w:val="00381FD1"/>
    <w:rsid w:val="00384A3C"/>
    <w:rsid w:val="003A46DA"/>
    <w:rsid w:val="003A7024"/>
    <w:rsid w:val="003B1F13"/>
    <w:rsid w:val="003D1626"/>
    <w:rsid w:val="003D4868"/>
    <w:rsid w:val="003D54DB"/>
    <w:rsid w:val="003E033B"/>
    <w:rsid w:val="003E6B47"/>
    <w:rsid w:val="003F3798"/>
    <w:rsid w:val="00401486"/>
    <w:rsid w:val="00404CA1"/>
    <w:rsid w:val="00410FBF"/>
    <w:rsid w:val="00424166"/>
    <w:rsid w:val="00426A67"/>
    <w:rsid w:val="004406A0"/>
    <w:rsid w:val="0044074E"/>
    <w:rsid w:val="0044161B"/>
    <w:rsid w:val="004612B2"/>
    <w:rsid w:val="00474AE6"/>
    <w:rsid w:val="00486D7D"/>
    <w:rsid w:val="00487763"/>
    <w:rsid w:val="005010B1"/>
    <w:rsid w:val="00536656"/>
    <w:rsid w:val="00583D56"/>
    <w:rsid w:val="005901AB"/>
    <w:rsid w:val="005A02B3"/>
    <w:rsid w:val="005A3B6B"/>
    <w:rsid w:val="005B53AD"/>
    <w:rsid w:val="005C3E77"/>
    <w:rsid w:val="005C716D"/>
    <w:rsid w:val="005F7024"/>
    <w:rsid w:val="0061703A"/>
    <w:rsid w:val="0063546D"/>
    <w:rsid w:val="00636745"/>
    <w:rsid w:val="00647B9B"/>
    <w:rsid w:val="0068343D"/>
    <w:rsid w:val="00684735"/>
    <w:rsid w:val="00684BC6"/>
    <w:rsid w:val="00687897"/>
    <w:rsid w:val="006B1A64"/>
    <w:rsid w:val="006F628C"/>
    <w:rsid w:val="006F7749"/>
    <w:rsid w:val="00731EA0"/>
    <w:rsid w:val="0076759B"/>
    <w:rsid w:val="007A31CC"/>
    <w:rsid w:val="007A391A"/>
    <w:rsid w:val="007A3C6A"/>
    <w:rsid w:val="007A4EA0"/>
    <w:rsid w:val="007B1389"/>
    <w:rsid w:val="007B7FE3"/>
    <w:rsid w:val="007C597B"/>
    <w:rsid w:val="007C7099"/>
    <w:rsid w:val="007D22D5"/>
    <w:rsid w:val="00801AA6"/>
    <w:rsid w:val="00804B51"/>
    <w:rsid w:val="00823B8F"/>
    <w:rsid w:val="00833351"/>
    <w:rsid w:val="00840A9C"/>
    <w:rsid w:val="00844188"/>
    <w:rsid w:val="00857FD8"/>
    <w:rsid w:val="00864E15"/>
    <w:rsid w:val="00872A41"/>
    <w:rsid w:val="00877D56"/>
    <w:rsid w:val="00885419"/>
    <w:rsid w:val="00885823"/>
    <w:rsid w:val="008B7364"/>
    <w:rsid w:val="008E07FD"/>
    <w:rsid w:val="008E0EE5"/>
    <w:rsid w:val="008E21FA"/>
    <w:rsid w:val="0091403F"/>
    <w:rsid w:val="00924304"/>
    <w:rsid w:val="00957A23"/>
    <w:rsid w:val="00973AE4"/>
    <w:rsid w:val="00974B9B"/>
    <w:rsid w:val="00981872"/>
    <w:rsid w:val="00987E40"/>
    <w:rsid w:val="00997887"/>
    <w:rsid w:val="009A4FC9"/>
    <w:rsid w:val="009B01CD"/>
    <w:rsid w:val="009B4B4A"/>
    <w:rsid w:val="009C49ED"/>
    <w:rsid w:val="009D2F15"/>
    <w:rsid w:val="009D67C9"/>
    <w:rsid w:val="009E3048"/>
    <w:rsid w:val="009F1A92"/>
    <w:rsid w:val="00A12739"/>
    <w:rsid w:val="00A25115"/>
    <w:rsid w:val="00A371AA"/>
    <w:rsid w:val="00A421FE"/>
    <w:rsid w:val="00A507E5"/>
    <w:rsid w:val="00A50BBC"/>
    <w:rsid w:val="00A81455"/>
    <w:rsid w:val="00A84989"/>
    <w:rsid w:val="00AA4905"/>
    <w:rsid w:val="00AA4A5D"/>
    <w:rsid w:val="00AE1317"/>
    <w:rsid w:val="00AE1C20"/>
    <w:rsid w:val="00AE1F7B"/>
    <w:rsid w:val="00AF4377"/>
    <w:rsid w:val="00B04DE4"/>
    <w:rsid w:val="00B208F5"/>
    <w:rsid w:val="00B31CFB"/>
    <w:rsid w:val="00B3788D"/>
    <w:rsid w:val="00B459DA"/>
    <w:rsid w:val="00B60111"/>
    <w:rsid w:val="00B62B8E"/>
    <w:rsid w:val="00B72AA5"/>
    <w:rsid w:val="00B94072"/>
    <w:rsid w:val="00B9737B"/>
    <w:rsid w:val="00BA6619"/>
    <w:rsid w:val="00BA692F"/>
    <w:rsid w:val="00BF7548"/>
    <w:rsid w:val="00C03D7A"/>
    <w:rsid w:val="00C11ED4"/>
    <w:rsid w:val="00C17DB5"/>
    <w:rsid w:val="00C237E8"/>
    <w:rsid w:val="00C45441"/>
    <w:rsid w:val="00C463DA"/>
    <w:rsid w:val="00C52278"/>
    <w:rsid w:val="00C64D30"/>
    <w:rsid w:val="00C66374"/>
    <w:rsid w:val="00C72DE6"/>
    <w:rsid w:val="00C7469E"/>
    <w:rsid w:val="00C80E5C"/>
    <w:rsid w:val="00C90850"/>
    <w:rsid w:val="00CA6187"/>
    <w:rsid w:val="00CA679E"/>
    <w:rsid w:val="00CB17A9"/>
    <w:rsid w:val="00CB44C3"/>
    <w:rsid w:val="00CB4854"/>
    <w:rsid w:val="00CC6420"/>
    <w:rsid w:val="00CE12CF"/>
    <w:rsid w:val="00D251C3"/>
    <w:rsid w:val="00D260F4"/>
    <w:rsid w:val="00D41A95"/>
    <w:rsid w:val="00D539E1"/>
    <w:rsid w:val="00D61786"/>
    <w:rsid w:val="00D83C90"/>
    <w:rsid w:val="00DB2A48"/>
    <w:rsid w:val="00DD26BE"/>
    <w:rsid w:val="00DD74B0"/>
    <w:rsid w:val="00DF1711"/>
    <w:rsid w:val="00E128D1"/>
    <w:rsid w:val="00E1440D"/>
    <w:rsid w:val="00E22031"/>
    <w:rsid w:val="00E24303"/>
    <w:rsid w:val="00E277DB"/>
    <w:rsid w:val="00E65DA6"/>
    <w:rsid w:val="00E909CB"/>
    <w:rsid w:val="00E95D66"/>
    <w:rsid w:val="00EA7535"/>
    <w:rsid w:val="00EC06F2"/>
    <w:rsid w:val="00EC68DD"/>
    <w:rsid w:val="00ED1EDE"/>
    <w:rsid w:val="00EE1D26"/>
    <w:rsid w:val="00EF44D9"/>
    <w:rsid w:val="00EF5CEC"/>
    <w:rsid w:val="00EF68EF"/>
    <w:rsid w:val="00EF73E2"/>
    <w:rsid w:val="00EF7858"/>
    <w:rsid w:val="00F04831"/>
    <w:rsid w:val="00F2336B"/>
    <w:rsid w:val="00F23EBE"/>
    <w:rsid w:val="00F357C4"/>
    <w:rsid w:val="00F36969"/>
    <w:rsid w:val="00F41537"/>
    <w:rsid w:val="00F52A9C"/>
    <w:rsid w:val="00F549A1"/>
    <w:rsid w:val="00FA2EE1"/>
    <w:rsid w:val="00FA7B1D"/>
    <w:rsid w:val="00FB593C"/>
    <w:rsid w:val="00FE5AAF"/>
    <w:rsid w:val="00FE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099"/>
  </w:style>
  <w:style w:type="paragraph" w:styleId="Footer">
    <w:name w:val="footer"/>
    <w:basedOn w:val="Normal"/>
    <w:link w:val="FooterChar"/>
    <w:uiPriority w:val="99"/>
    <w:semiHidden/>
    <w:unhideWhenUsed/>
    <w:rsid w:val="007C70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099"/>
  </w:style>
  <w:style w:type="character" w:styleId="Hyperlink">
    <w:name w:val="Hyperlink"/>
    <w:basedOn w:val="DefaultParagraphFont"/>
    <w:uiPriority w:val="99"/>
    <w:unhideWhenUsed/>
    <w:rsid w:val="00EC68DD"/>
    <w:rPr>
      <w:color w:val="0000FF" w:themeColor="hyperlink"/>
      <w:u w:val="single"/>
    </w:rPr>
  </w:style>
  <w:style w:type="table" w:styleId="TableGrid">
    <w:name w:val="Table Grid"/>
    <w:basedOn w:val="TableNormal"/>
    <w:uiPriority w:val="59"/>
    <w:rsid w:val="00E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2014-01-14T17:27:00Z</dcterms:created>
  <dcterms:modified xsi:type="dcterms:W3CDTF">2014-01-14T21:54:00Z</dcterms:modified>
</cp:coreProperties>
</file>