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0F" w:rsidRDefault="0099560F" w:rsidP="0099560F">
      <w:pPr>
        <w:shd w:val="clear" w:color="auto" w:fill="FFFFFF"/>
        <w:spacing w:after="240" w:line="240" w:lineRule="auto"/>
        <w:rPr>
          <w:rFonts w:ascii="Verdana" w:hAnsi="Verdana"/>
          <w:color w:val="000000"/>
          <w:sz w:val="14"/>
          <w:szCs w:val="14"/>
          <w:shd w:val="clear" w:color="auto" w:fill="FFFFFF"/>
        </w:rPr>
      </w:pPr>
      <w:r>
        <w:rPr>
          <w:rFonts w:ascii="Verdana" w:hAnsi="Verdana"/>
          <w:b/>
          <w:color w:val="000000"/>
          <w:sz w:val="14"/>
          <w:szCs w:val="14"/>
          <w:shd w:val="clear" w:color="auto" w:fill="FFFFFF"/>
        </w:rPr>
        <w:t xml:space="preserve">8.4 </w:t>
      </w:r>
      <w:r w:rsidRPr="0004730F">
        <w:rPr>
          <w:rFonts w:ascii="Verdana" w:hAnsi="Verdana"/>
          <w:b/>
          <w:color w:val="000000"/>
          <w:sz w:val="14"/>
          <w:szCs w:val="14"/>
          <w:shd w:val="clear" w:color="auto" w:fill="FFFFFF"/>
        </w:rPr>
        <w:t xml:space="preserve">Assume the yield curve on "plain vanilla" default-free bonds is flat at 5%, and you are thinking of buying a default-free bond. Specifically, you're thinking of buying a bond issued by </w:t>
      </w:r>
      <w:proofErr w:type="spellStart"/>
      <w:r w:rsidRPr="0004730F">
        <w:rPr>
          <w:rFonts w:ascii="Verdana" w:hAnsi="Verdana"/>
          <w:b/>
          <w:color w:val="000000"/>
          <w:sz w:val="14"/>
          <w:szCs w:val="14"/>
          <w:shd w:val="clear" w:color="auto" w:fill="FFFFFF"/>
        </w:rPr>
        <w:t>Risklessco</w:t>
      </w:r>
      <w:proofErr w:type="spellEnd"/>
      <w:r w:rsidRPr="0004730F">
        <w:rPr>
          <w:rFonts w:ascii="Verdana" w:hAnsi="Verdana"/>
          <w:b/>
          <w:color w:val="000000"/>
          <w:sz w:val="14"/>
          <w:szCs w:val="14"/>
          <w:shd w:val="clear" w:color="auto" w:fill="FFFFFF"/>
        </w:rPr>
        <w:t>, a company considered to be default-free by all major bond rating firms.</w:t>
      </w:r>
      <w:r w:rsidRPr="0004730F">
        <w:rPr>
          <w:rFonts w:ascii="Arial" w:hAnsi="Arial" w:cs="Arial"/>
          <w:b/>
          <w:color w:val="000000"/>
          <w:sz w:val="14"/>
          <w:szCs w:val="14"/>
        </w:rPr>
        <w:br/>
      </w:r>
      <w:r w:rsidRPr="0004730F">
        <w:rPr>
          <w:rFonts w:ascii="Arial" w:hAnsi="Arial" w:cs="Arial"/>
          <w:b/>
          <w:color w:val="000000"/>
          <w:sz w:val="14"/>
          <w:szCs w:val="14"/>
        </w:rPr>
        <w:br/>
      </w:r>
      <w:r w:rsidRPr="0004730F">
        <w:rPr>
          <w:rFonts w:ascii="Verdana" w:hAnsi="Verdana"/>
          <w:b/>
          <w:color w:val="000000"/>
          <w:sz w:val="14"/>
          <w:szCs w:val="14"/>
          <w:shd w:val="clear" w:color="auto" w:fill="FFFFFF"/>
        </w:rPr>
        <w:t>You will select one of the following three bonds, all identical except for the special features listed:</w:t>
      </w:r>
    </w:p>
    <w:p w:rsidR="0099560F" w:rsidRPr="007D6F4F" w:rsidRDefault="0099560F" w:rsidP="0099560F">
      <w:pPr>
        <w:spacing w:after="0" w:line="240" w:lineRule="auto"/>
        <w:rPr>
          <w:rFonts w:ascii="Times New Roman" w:eastAsia="Times New Roman" w:hAnsi="Times New Roman" w:cs="Times New Roman"/>
          <w:sz w:val="24"/>
          <w:szCs w:val="24"/>
        </w:rPr>
      </w:pPr>
    </w:p>
    <w:tbl>
      <w:tblPr>
        <w:tblW w:w="0" w:type="auto"/>
        <w:tblBorders>
          <w:top w:val="outset" w:sz="6" w:space="0" w:color="CCCCCC"/>
          <w:left w:val="outset" w:sz="6" w:space="0" w:color="CCCCCC"/>
          <w:bottom w:val="outset" w:sz="6" w:space="0" w:color="CCCCCC"/>
          <w:right w:val="outset" w:sz="6" w:space="0" w:color="CCCCCC"/>
        </w:tblBorders>
        <w:shd w:val="clear" w:color="auto" w:fill="FFFFFF"/>
        <w:tblCellMar>
          <w:top w:w="15" w:type="dxa"/>
          <w:left w:w="15" w:type="dxa"/>
          <w:bottom w:w="15" w:type="dxa"/>
          <w:right w:w="15" w:type="dxa"/>
        </w:tblCellMar>
        <w:tblLook w:val="04A0"/>
      </w:tblPr>
      <w:tblGrid>
        <w:gridCol w:w="348"/>
        <w:gridCol w:w="696"/>
        <w:gridCol w:w="924"/>
        <w:gridCol w:w="924"/>
        <w:gridCol w:w="924"/>
        <w:gridCol w:w="1356"/>
        <w:gridCol w:w="696"/>
      </w:tblGrid>
      <w:tr w:rsidR="0099560F" w:rsidRPr="007D6F4F" w:rsidTr="007165E8">
        <w:tc>
          <w:tcPr>
            <w:tcW w:w="348"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6B7E47">
              <w:rPr>
                <w:rFonts w:ascii="Arial" w:eastAsia="Times New Roman" w:hAnsi="Arial" w:cs="Arial"/>
                <w:color w:val="000000"/>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w:pict>
            </w:r>
          </w:p>
        </w:tc>
        <w:tc>
          <w:tcPr>
            <w:tcW w:w="69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Face Value</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Maturity</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Coupon Rate (Paid Annually)</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Yield to Maturity</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Special Features</w:t>
            </w:r>
          </w:p>
        </w:tc>
        <w:tc>
          <w:tcPr>
            <w:tcW w:w="69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Price</w:t>
            </w:r>
          </w:p>
        </w:tc>
      </w:tr>
      <w:tr w:rsidR="0099560F" w:rsidRPr="007D6F4F" w:rsidTr="007165E8">
        <w:tc>
          <w:tcPr>
            <w:tcW w:w="348"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A</w:t>
            </w:r>
          </w:p>
        </w:tc>
        <w:tc>
          <w:tcPr>
            <w:tcW w:w="69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1000</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20 years</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5.5%</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5%</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None</w:t>
            </w:r>
          </w:p>
        </w:tc>
        <w:tc>
          <w:tcPr>
            <w:tcW w:w="69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w:t>
            </w:r>
          </w:p>
        </w:tc>
      </w:tr>
      <w:tr w:rsidR="0099560F" w:rsidRPr="007D6F4F" w:rsidTr="007165E8">
        <w:tc>
          <w:tcPr>
            <w:tcW w:w="348"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B</w:t>
            </w:r>
          </w:p>
        </w:tc>
        <w:tc>
          <w:tcPr>
            <w:tcW w:w="69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1000</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20 years</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5.5%</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5%</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Callable</w:t>
            </w:r>
          </w:p>
        </w:tc>
        <w:tc>
          <w:tcPr>
            <w:tcW w:w="69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Par</w:t>
            </w:r>
          </w:p>
        </w:tc>
      </w:tr>
      <w:tr w:rsidR="0099560F" w:rsidRPr="007D6F4F" w:rsidTr="007165E8">
        <w:tc>
          <w:tcPr>
            <w:tcW w:w="348"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C</w:t>
            </w:r>
          </w:p>
        </w:tc>
        <w:tc>
          <w:tcPr>
            <w:tcW w:w="69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1000</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20 years</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5.5%</w:t>
            </w:r>
          </w:p>
        </w:tc>
        <w:tc>
          <w:tcPr>
            <w:tcW w:w="924"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3.5%</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 xml:space="preserve">Callable and Convertible into </w:t>
            </w:r>
            <w:proofErr w:type="spellStart"/>
            <w:r w:rsidRPr="007D6F4F">
              <w:rPr>
                <w:rFonts w:ascii="Verdana" w:eastAsia="Times New Roman" w:hAnsi="Verdana" w:cs="Arial"/>
                <w:color w:val="000000"/>
                <w:sz w:val="14"/>
                <w:szCs w:val="14"/>
              </w:rPr>
              <w:t>Risklessco</w:t>
            </w:r>
            <w:proofErr w:type="spellEnd"/>
            <w:r w:rsidRPr="007D6F4F">
              <w:rPr>
                <w:rFonts w:ascii="Verdana" w:eastAsia="Times New Roman" w:hAnsi="Verdana" w:cs="Arial"/>
                <w:color w:val="000000"/>
                <w:sz w:val="14"/>
                <w:szCs w:val="14"/>
              </w:rPr>
              <w:t xml:space="preserve"> Stock</w:t>
            </w:r>
          </w:p>
        </w:tc>
        <w:tc>
          <w:tcPr>
            <w:tcW w:w="69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9560F" w:rsidRPr="007D6F4F" w:rsidRDefault="0099560F" w:rsidP="007165E8">
            <w:pPr>
              <w:spacing w:after="0" w:line="180" w:lineRule="atLeast"/>
              <w:rPr>
                <w:rFonts w:ascii="Arial" w:eastAsia="Times New Roman" w:hAnsi="Arial" w:cs="Arial"/>
                <w:color w:val="000000"/>
                <w:sz w:val="14"/>
                <w:szCs w:val="14"/>
              </w:rPr>
            </w:pPr>
            <w:r w:rsidRPr="007D6F4F">
              <w:rPr>
                <w:rFonts w:ascii="Verdana" w:eastAsia="Times New Roman" w:hAnsi="Verdana" w:cs="Arial"/>
                <w:color w:val="000000"/>
                <w:sz w:val="14"/>
                <w:szCs w:val="14"/>
              </w:rPr>
              <w:t>?</w:t>
            </w:r>
          </w:p>
        </w:tc>
      </w:tr>
    </w:tbl>
    <w:p w:rsidR="0099560F" w:rsidRDefault="0099560F" w:rsidP="0099560F">
      <w:pPr>
        <w:shd w:val="clear" w:color="auto" w:fill="FFFFFF"/>
        <w:spacing w:after="240" w:line="240" w:lineRule="auto"/>
        <w:rPr>
          <w:rFonts w:ascii="Verdana" w:hAnsi="Verdana"/>
          <w:b/>
          <w:color w:val="000000"/>
          <w:sz w:val="14"/>
          <w:szCs w:val="14"/>
          <w:shd w:val="clear" w:color="auto" w:fill="FFFFFF"/>
        </w:rPr>
      </w:pPr>
    </w:p>
    <w:p w:rsidR="0099560F" w:rsidRDefault="0099560F" w:rsidP="0099560F">
      <w:pPr>
        <w:pStyle w:val="ListParagraph"/>
        <w:numPr>
          <w:ilvl w:val="0"/>
          <w:numId w:val="1"/>
        </w:numPr>
        <w:shd w:val="clear" w:color="auto" w:fill="FFFFFF"/>
        <w:spacing w:after="240" w:line="240" w:lineRule="auto"/>
        <w:rPr>
          <w:rFonts w:ascii="Verdana" w:hAnsi="Verdana"/>
          <w:b/>
          <w:color w:val="000000"/>
          <w:sz w:val="14"/>
          <w:szCs w:val="14"/>
          <w:shd w:val="clear" w:color="auto" w:fill="FFFFFF"/>
        </w:rPr>
      </w:pPr>
      <w:r w:rsidRPr="0004730F">
        <w:rPr>
          <w:rFonts w:ascii="Verdana" w:hAnsi="Verdana"/>
          <w:b/>
          <w:color w:val="000000"/>
          <w:sz w:val="14"/>
          <w:szCs w:val="14"/>
          <w:shd w:val="clear" w:color="auto" w:fill="FFFFFF"/>
        </w:rPr>
        <w:t>Why is the yield on bonds A and B 5%? Why is the yield on bond C different?</w:t>
      </w:r>
    </w:p>
    <w:p w:rsidR="0099560F" w:rsidRPr="0004730F" w:rsidRDefault="0099560F" w:rsidP="0099560F">
      <w:pPr>
        <w:pStyle w:val="ListParagraph"/>
        <w:numPr>
          <w:ilvl w:val="0"/>
          <w:numId w:val="1"/>
        </w:numPr>
        <w:shd w:val="clear" w:color="auto" w:fill="FFFFFF"/>
        <w:spacing w:after="240" w:line="240" w:lineRule="auto"/>
        <w:rPr>
          <w:rFonts w:ascii="Verdana" w:hAnsi="Verdana"/>
          <w:b/>
          <w:color w:val="000000"/>
          <w:sz w:val="14"/>
          <w:szCs w:val="14"/>
          <w:shd w:val="clear" w:color="auto" w:fill="FFFFFF"/>
        </w:rPr>
      </w:pPr>
      <w:r w:rsidRPr="0004730F">
        <w:rPr>
          <w:rFonts w:ascii="Verdana" w:hAnsi="Verdana"/>
          <w:b/>
          <w:color w:val="000000"/>
          <w:sz w:val="14"/>
          <w:szCs w:val="14"/>
          <w:shd w:val="clear" w:color="auto" w:fill="FFFFFF"/>
        </w:rPr>
        <w:t>What would be the price of Bond A?</w:t>
      </w:r>
    </w:p>
    <w:p w:rsidR="0099560F" w:rsidRPr="0004730F" w:rsidRDefault="0099560F" w:rsidP="0099560F">
      <w:pPr>
        <w:pStyle w:val="ListParagraph"/>
        <w:numPr>
          <w:ilvl w:val="0"/>
          <w:numId w:val="1"/>
        </w:numPr>
        <w:shd w:val="clear" w:color="auto" w:fill="FFFFFF"/>
        <w:spacing w:after="240" w:line="240" w:lineRule="auto"/>
        <w:rPr>
          <w:rFonts w:ascii="Verdana" w:hAnsi="Verdana"/>
          <w:b/>
          <w:color w:val="000000"/>
          <w:sz w:val="14"/>
          <w:szCs w:val="14"/>
          <w:shd w:val="clear" w:color="auto" w:fill="FFFFFF"/>
        </w:rPr>
      </w:pPr>
      <w:r w:rsidRPr="0004730F">
        <w:rPr>
          <w:rFonts w:ascii="Verdana" w:hAnsi="Verdana"/>
          <w:b/>
          <w:color w:val="000000"/>
          <w:sz w:val="14"/>
          <w:szCs w:val="14"/>
          <w:shd w:val="clear" w:color="auto" w:fill="FFFFFF"/>
        </w:rPr>
        <w:t>If bond C is considered identical to bond B except for the conversion privilege, what is the value of the conversion privilege? Does the conversion privilege benefit the issuer of the bond or the purchaser? Is this consistent with the price you calculated for bond C?</w:t>
      </w:r>
    </w:p>
    <w:p w:rsidR="0099560F" w:rsidRPr="0004730F" w:rsidRDefault="0099560F" w:rsidP="0099560F">
      <w:pPr>
        <w:pStyle w:val="ListParagraph"/>
        <w:numPr>
          <w:ilvl w:val="0"/>
          <w:numId w:val="1"/>
        </w:numPr>
        <w:shd w:val="clear" w:color="auto" w:fill="FFFFFF"/>
        <w:spacing w:after="240" w:line="240" w:lineRule="auto"/>
        <w:rPr>
          <w:rFonts w:ascii="Verdana" w:hAnsi="Verdana"/>
          <w:b/>
          <w:color w:val="000000"/>
          <w:sz w:val="14"/>
          <w:szCs w:val="14"/>
          <w:shd w:val="clear" w:color="auto" w:fill="FFFFFF"/>
        </w:rPr>
      </w:pPr>
      <w:r w:rsidRPr="0004730F">
        <w:rPr>
          <w:rFonts w:ascii="Verdana" w:hAnsi="Verdana"/>
          <w:b/>
          <w:color w:val="000000"/>
          <w:sz w:val="14"/>
          <w:szCs w:val="14"/>
          <w:shd w:val="clear" w:color="auto" w:fill="FFFFFF"/>
        </w:rPr>
        <w:t xml:space="preserve">Who does the </w:t>
      </w:r>
      <w:proofErr w:type="spellStart"/>
      <w:r w:rsidRPr="0004730F">
        <w:rPr>
          <w:rFonts w:ascii="Verdana" w:hAnsi="Verdana"/>
          <w:b/>
          <w:color w:val="000000"/>
          <w:sz w:val="14"/>
          <w:szCs w:val="14"/>
          <w:shd w:val="clear" w:color="auto" w:fill="FFFFFF"/>
        </w:rPr>
        <w:t>callability</w:t>
      </w:r>
      <w:proofErr w:type="spellEnd"/>
      <w:r w:rsidRPr="0004730F">
        <w:rPr>
          <w:rFonts w:ascii="Verdana" w:hAnsi="Verdana"/>
          <w:b/>
          <w:color w:val="000000"/>
          <w:sz w:val="14"/>
          <w:szCs w:val="14"/>
          <w:shd w:val="clear" w:color="auto" w:fill="FFFFFF"/>
        </w:rPr>
        <w:t xml:space="preserve"> provision benefit, the issuer or the purchaser? Is this consistent with the price you calculated for bond A?</w:t>
      </w:r>
    </w:p>
    <w:p w:rsidR="00317C95" w:rsidRDefault="00317C95"/>
    <w:sectPr w:rsidR="00317C95" w:rsidSect="00317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000"/>
    <w:multiLevelType w:val="hybridMultilevel"/>
    <w:tmpl w:val="F24CF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560F"/>
    <w:rsid w:val="0000132D"/>
    <w:rsid w:val="00010BB9"/>
    <w:rsid w:val="0001640F"/>
    <w:rsid w:val="000217C0"/>
    <w:rsid w:val="00046345"/>
    <w:rsid w:val="000617D8"/>
    <w:rsid w:val="00073E68"/>
    <w:rsid w:val="000820A8"/>
    <w:rsid w:val="00095095"/>
    <w:rsid w:val="000A3952"/>
    <w:rsid w:val="000A454A"/>
    <w:rsid w:val="000B0BA1"/>
    <w:rsid w:val="000B640A"/>
    <w:rsid w:val="000B734A"/>
    <w:rsid w:val="000C0685"/>
    <w:rsid w:val="000C3FE8"/>
    <w:rsid w:val="000D1470"/>
    <w:rsid w:val="000D4429"/>
    <w:rsid w:val="000D48A5"/>
    <w:rsid w:val="000D77B6"/>
    <w:rsid w:val="000E67BC"/>
    <w:rsid w:val="000F14B5"/>
    <w:rsid w:val="00107DEC"/>
    <w:rsid w:val="00122ADF"/>
    <w:rsid w:val="001271CA"/>
    <w:rsid w:val="00137BE5"/>
    <w:rsid w:val="001435D4"/>
    <w:rsid w:val="001450BC"/>
    <w:rsid w:val="0014696C"/>
    <w:rsid w:val="00160FA8"/>
    <w:rsid w:val="0016196E"/>
    <w:rsid w:val="0017688E"/>
    <w:rsid w:val="00180790"/>
    <w:rsid w:val="001C75F2"/>
    <w:rsid w:val="00201583"/>
    <w:rsid w:val="002142B4"/>
    <w:rsid w:val="002231C6"/>
    <w:rsid w:val="00226270"/>
    <w:rsid w:val="00231CBD"/>
    <w:rsid w:val="00233503"/>
    <w:rsid w:val="002371D1"/>
    <w:rsid w:val="00246E33"/>
    <w:rsid w:val="00252599"/>
    <w:rsid w:val="00262AC5"/>
    <w:rsid w:val="0028156F"/>
    <w:rsid w:val="00292493"/>
    <w:rsid w:val="002976CA"/>
    <w:rsid w:val="002A06EE"/>
    <w:rsid w:val="002A47AF"/>
    <w:rsid w:val="002A482D"/>
    <w:rsid w:val="002A7508"/>
    <w:rsid w:val="002B46E3"/>
    <w:rsid w:val="002C062F"/>
    <w:rsid w:val="002D29C3"/>
    <w:rsid w:val="002E7990"/>
    <w:rsid w:val="002E7CC1"/>
    <w:rsid w:val="002F5C77"/>
    <w:rsid w:val="003113C3"/>
    <w:rsid w:val="00317C95"/>
    <w:rsid w:val="003356C4"/>
    <w:rsid w:val="00336535"/>
    <w:rsid w:val="003368AB"/>
    <w:rsid w:val="0035360C"/>
    <w:rsid w:val="00371AFD"/>
    <w:rsid w:val="00374499"/>
    <w:rsid w:val="003A7637"/>
    <w:rsid w:val="003A7CAC"/>
    <w:rsid w:val="003E5A3E"/>
    <w:rsid w:val="003E7095"/>
    <w:rsid w:val="004073DF"/>
    <w:rsid w:val="00421BFC"/>
    <w:rsid w:val="0042730C"/>
    <w:rsid w:val="0043418D"/>
    <w:rsid w:val="00446B23"/>
    <w:rsid w:val="00450753"/>
    <w:rsid w:val="00452181"/>
    <w:rsid w:val="00455B60"/>
    <w:rsid w:val="00463DA6"/>
    <w:rsid w:val="00492F5A"/>
    <w:rsid w:val="004B46C7"/>
    <w:rsid w:val="004B4B67"/>
    <w:rsid w:val="004E1C73"/>
    <w:rsid w:val="004E7ADF"/>
    <w:rsid w:val="004F4271"/>
    <w:rsid w:val="005168F9"/>
    <w:rsid w:val="00525627"/>
    <w:rsid w:val="00535FCB"/>
    <w:rsid w:val="0053674B"/>
    <w:rsid w:val="00545E02"/>
    <w:rsid w:val="00563704"/>
    <w:rsid w:val="0057183E"/>
    <w:rsid w:val="00574BCF"/>
    <w:rsid w:val="0057584E"/>
    <w:rsid w:val="00580D7B"/>
    <w:rsid w:val="00583727"/>
    <w:rsid w:val="00597249"/>
    <w:rsid w:val="005B0635"/>
    <w:rsid w:val="005B15EE"/>
    <w:rsid w:val="005C7950"/>
    <w:rsid w:val="005E3C64"/>
    <w:rsid w:val="005F1A6F"/>
    <w:rsid w:val="005F32BE"/>
    <w:rsid w:val="00600B29"/>
    <w:rsid w:val="00601C9A"/>
    <w:rsid w:val="00606BB3"/>
    <w:rsid w:val="00631DB0"/>
    <w:rsid w:val="006642E2"/>
    <w:rsid w:val="00666551"/>
    <w:rsid w:val="00695B36"/>
    <w:rsid w:val="00697835"/>
    <w:rsid w:val="00697952"/>
    <w:rsid w:val="006A4B39"/>
    <w:rsid w:val="006A6CC9"/>
    <w:rsid w:val="006A6FE6"/>
    <w:rsid w:val="006B0DB7"/>
    <w:rsid w:val="006B6581"/>
    <w:rsid w:val="006D1D67"/>
    <w:rsid w:val="006D2DA2"/>
    <w:rsid w:val="006F18E7"/>
    <w:rsid w:val="00712565"/>
    <w:rsid w:val="00715A56"/>
    <w:rsid w:val="00727EE0"/>
    <w:rsid w:val="00752F69"/>
    <w:rsid w:val="00756A45"/>
    <w:rsid w:val="00763578"/>
    <w:rsid w:val="00766926"/>
    <w:rsid w:val="00766D6E"/>
    <w:rsid w:val="00773B16"/>
    <w:rsid w:val="0077722B"/>
    <w:rsid w:val="00781E46"/>
    <w:rsid w:val="007953A1"/>
    <w:rsid w:val="007A0E79"/>
    <w:rsid w:val="007D7813"/>
    <w:rsid w:val="007E04BF"/>
    <w:rsid w:val="007E68A0"/>
    <w:rsid w:val="0081261F"/>
    <w:rsid w:val="00813E0A"/>
    <w:rsid w:val="00821574"/>
    <w:rsid w:val="0082735A"/>
    <w:rsid w:val="0083631A"/>
    <w:rsid w:val="00851DA7"/>
    <w:rsid w:val="0085349A"/>
    <w:rsid w:val="0085654B"/>
    <w:rsid w:val="00872455"/>
    <w:rsid w:val="008840D6"/>
    <w:rsid w:val="0088689A"/>
    <w:rsid w:val="00893129"/>
    <w:rsid w:val="008A0771"/>
    <w:rsid w:val="008B1368"/>
    <w:rsid w:val="008B28C6"/>
    <w:rsid w:val="008B41E9"/>
    <w:rsid w:val="008B70C7"/>
    <w:rsid w:val="008C2CBF"/>
    <w:rsid w:val="008D1E4E"/>
    <w:rsid w:val="008E094B"/>
    <w:rsid w:val="008E571C"/>
    <w:rsid w:val="008F3B61"/>
    <w:rsid w:val="00904C15"/>
    <w:rsid w:val="00911865"/>
    <w:rsid w:val="00946560"/>
    <w:rsid w:val="00956E42"/>
    <w:rsid w:val="009639F3"/>
    <w:rsid w:val="00966807"/>
    <w:rsid w:val="00976F2C"/>
    <w:rsid w:val="00977C98"/>
    <w:rsid w:val="00983254"/>
    <w:rsid w:val="00983CB2"/>
    <w:rsid w:val="00995468"/>
    <w:rsid w:val="0099560F"/>
    <w:rsid w:val="009A044E"/>
    <w:rsid w:val="009B5B56"/>
    <w:rsid w:val="009C20BB"/>
    <w:rsid w:val="009D2767"/>
    <w:rsid w:val="009E5094"/>
    <w:rsid w:val="00A02E71"/>
    <w:rsid w:val="00A07147"/>
    <w:rsid w:val="00A161EF"/>
    <w:rsid w:val="00A16BA9"/>
    <w:rsid w:val="00A17F48"/>
    <w:rsid w:val="00A272B7"/>
    <w:rsid w:val="00A34E28"/>
    <w:rsid w:val="00A6051E"/>
    <w:rsid w:val="00A91816"/>
    <w:rsid w:val="00A943A6"/>
    <w:rsid w:val="00AA36CD"/>
    <w:rsid w:val="00AA38CB"/>
    <w:rsid w:val="00AA3A7B"/>
    <w:rsid w:val="00AA63D1"/>
    <w:rsid w:val="00AB6660"/>
    <w:rsid w:val="00AF7614"/>
    <w:rsid w:val="00B044D3"/>
    <w:rsid w:val="00B07D02"/>
    <w:rsid w:val="00B123FC"/>
    <w:rsid w:val="00B15E60"/>
    <w:rsid w:val="00B17ED5"/>
    <w:rsid w:val="00B3625F"/>
    <w:rsid w:val="00B376BE"/>
    <w:rsid w:val="00B47598"/>
    <w:rsid w:val="00B52580"/>
    <w:rsid w:val="00B549F1"/>
    <w:rsid w:val="00B55F7D"/>
    <w:rsid w:val="00B62B58"/>
    <w:rsid w:val="00B72D11"/>
    <w:rsid w:val="00B730E7"/>
    <w:rsid w:val="00B761F3"/>
    <w:rsid w:val="00B765B3"/>
    <w:rsid w:val="00B8067E"/>
    <w:rsid w:val="00B903A3"/>
    <w:rsid w:val="00B909D5"/>
    <w:rsid w:val="00BA3EBA"/>
    <w:rsid w:val="00BC0169"/>
    <w:rsid w:val="00BC4155"/>
    <w:rsid w:val="00BD6AA0"/>
    <w:rsid w:val="00C10537"/>
    <w:rsid w:val="00C21258"/>
    <w:rsid w:val="00C35D62"/>
    <w:rsid w:val="00C37C71"/>
    <w:rsid w:val="00C4151E"/>
    <w:rsid w:val="00C57062"/>
    <w:rsid w:val="00C9765A"/>
    <w:rsid w:val="00CA3A01"/>
    <w:rsid w:val="00CB5940"/>
    <w:rsid w:val="00CE3272"/>
    <w:rsid w:val="00CE3888"/>
    <w:rsid w:val="00CF03CB"/>
    <w:rsid w:val="00D02E75"/>
    <w:rsid w:val="00D13F79"/>
    <w:rsid w:val="00D24986"/>
    <w:rsid w:val="00D52ACC"/>
    <w:rsid w:val="00D65389"/>
    <w:rsid w:val="00D74F8E"/>
    <w:rsid w:val="00D843AE"/>
    <w:rsid w:val="00D93E8D"/>
    <w:rsid w:val="00DB10E0"/>
    <w:rsid w:val="00DB2DD6"/>
    <w:rsid w:val="00DB4F99"/>
    <w:rsid w:val="00DB62EA"/>
    <w:rsid w:val="00DC2A20"/>
    <w:rsid w:val="00DC7245"/>
    <w:rsid w:val="00E04778"/>
    <w:rsid w:val="00E1583F"/>
    <w:rsid w:val="00E251EB"/>
    <w:rsid w:val="00E30013"/>
    <w:rsid w:val="00E31B40"/>
    <w:rsid w:val="00E377CF"/>
    <w:rsid w:val="00E43E5B"/>
    <w:rsid w:val="00E4667A"/>
    <w:rsid w:val="00E4742D"/>
    <w:rsid w:val="00E5385D"/>
    <w:rsid w:val="00E576C0"/>
    <w:rsid w:val="00E73901"/>
    <w:rsid w:val="00E803D6"/>
    <w:rsid w:val="00E86A7E"/>
    <w:rsid w:val="00E86D90"/>
    <w:rsid w:val="00E90658"/>
    <w:rsid w:val="00EC28CD"/>
    <w:rsid w:val="00EE25EE"/>
    <w:rsid w:val="00EE439B"/>
    <w:rsid w:val="00EE7D9D"/>
    <w:rsid w:val="00EF1FB5"/>
    <w:rsid w:val="00F20C4C"/>
    <w:rsid w:val="00F624DC"/>
    <w:rsid w:val="00F95A65"/>
    <w:rsid w:val="00FA0372"/>
    <w:rsid w:val="00FA2C11"/>
    <w:rsid w:val="00FA714A"/>
    <w:rsid w:val="00FB2E8D"/>
    <w:rsid w:val="00FB7ED9"/>
    <w:rsid w:val="00FC3EE2"/>
    <w:rsid w:val="00FC46E5"/>
    <w:rsid w:val="00FC4977"/>
    <w:rsid w:val="00FE4F11"/>
    <w:rsid w:val="00FE6865"/>
    <w:rsid w:val="00FE6D04"/>
    <w:rsid w:val="00FF1BD5"/>
    <w:rsid w:val="00FF6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6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Natalllya</dc:creator>
  <cp:keywords/>
  <dc:description/>
  <cp:lastModifiedBy>Natalllya</cp:lastModifiedBy>
  <cp:revision>2</cp:revision>
  <dcterms:created xsi:type="dcterms:W3CDTF">2013-12-24T12:02:00Z</dcterms:created>
  <dcterms:modified xsi:type="dcterms:W3CDTF">2013-12-24T12:03:00Z</dcterms:modified>
</cp:coreProperties>
</file>