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lorfulShading-Accent5"/>
        <w:tblW w:w="0" w:type="auto"/>
        <w:tblLook w:val="04A0"/>
      </w:tblPr>
      <w:tblGrid>
        <w:gridCol w:w="3192"/>
        <w:gridCol w:w="3192"/>
        <w:gridCol w:w="3192"/>
      </w:tblGrid>
      <w:tr w:rsidR="00A563B5" w:rsidRPr="00D16050" w:rsidTr="00181EC5">
        <w:trPr>
          <w:cnfStyle w:val="100000000000"/>
        </w:trPr>
        <w:tc>
          <w:tcPr>
            <w:cnfStyle w:val="001000000100"/>
            <w:tcW w:w="3192" w:type="dxa"/>
          </w:tcPr>
          <w:p w:rsidR="00A563B5" w:rsidRPr="00D16050" w:rsidRDefault="00A563B5" w:rsidP="00181EC5">
            <w:pPr>
              <w:jc w:val="center"/>
              <w:rPr>
                <w:rFonts w:cs="Times New Roman"/>
              </w:rPr>
            </w:pPr>
          </w:p>
        </w:tc>
        <w:tc>
          <w:tcPr>
            <w:tcW w:w="3192" w:type="dxa"/>
          </w:tcPr>
          <w:p w:rsidR="00A563B5" w:rsidRPr="00D16050" w:rsidRDefault="00A563B5" w:rsidP="00181EC5">
            <w:pPr>
              <w:jc w:val="center"/>
              <w:cnfStyle w:val="100000000000"/>
              <w:rPr>
                <w:rFonts w:cs="Times New Roman"/>
              </w:rPr>
            </w:pPr>
            <w:r w:rsidRPr="00D16050">
              <w:rPr>
                <w:rFonts w:cs="Times New Roman"/>
              </w:rPr>
              <w:t>Non-Government Grant</w:t>
            </w:r>
          </w:p>
        </w:tc>
        <w:tc>
          <w:tcPr>
            <w:tcW w:w="3192" w:type="dxa"/>
          </w:tcPr>
          <w:p w:rsidR="00A563B5" w:rsidRPr="00D16050" w:rsidRDefault="00A563B5" w:rsidP="00181EC5">
            <w:pPr>
              <w:jc w:val="center"/>
              <w:cnfStyle w:val="100000000000"/>
              <w:rPr>
                <w:rFonts w:cs="Times New Roman"/>
              </w:rPr>
            </w:pPr>
            <w:r w:rsidRPr="00D16050">
              <w:rPr>
                <w:rFonts w:cs="Times New Roman"/>
              </w:rPr>
              <w:t>Government Grant</w:t>
            </w:r>
          </w:p>
        </w:tc>
      </w:tr>
      <w:tr w:rsidR="00A563B5" w:rsidRPr="00D16050" w:rsidTr="00181EC5">
        <w:trPr>
          <w:cnfStyle w:val="000000100000"/>
        </w:trPr>
        <w:tc>
          <w:tcPr>
            <w:cnfStyle w:val="001000000000"/>
            <w:tcW w:w="3192" w:type="dxa"/>
          </w:tcPr>
          <w:p w:rsidR="00A563B5" w:rsidRPr="00D16050" w:rsidRDefault="00A563B5" w:rsidP="00181EC5">
            <w:pPr>
              <w:jc w:val="center"/>
              <w:rPr>
                <w:rFonts w:cs="Times New Roman"/>
              </w:rPr>
            </w:pPr>
            <w:r w:rsidRPr="00D16050">
              <w:rPr>
                <w:rFonts w:cs="Times New Roman"/>
              </w:rPr>
              <w:t>Title</w:t>
            </w:r>
          </w:p>
        </w:tc>
        <w:tc>
          <w:tcPr>
            <w:tcW w:w="3192" w:type="dxa"/>
          </w:tcPr>
          <w:p w:rsidR="00A563B5" w:rsidRPr="00D16050" w:rsidRDefault="00A563B5" w:rsidP="00181EC5">
            <w:pPr>
              <w:jc w:val="center"/>
              <w:cnfStyle w:val="000000100000"/>
              <w:rPr>
                <w:rFonts w:cs="Times New Roman"/>
              </w:rPr>
            </w:pPr>
            <w:r w:rsidRPr="00D16050">
              <w:rPr>
                <w:rFonts w:cs="Times New Roman"/>
              </w:rPr>
              <w:t>English Language Learners Enrichment Academies Grant</w:t>
            </w:r>
          </w:p>
        </w:tc>
        <w:tc>
          <w:tcPr>
            <w:tcW w:w="3192" w:type="dxa"/>
          </w:tcPr>
          <w:p w:rsidR="00A563B5" w:rsidRPr="00D16050" w:rsidRDefault="00A563B5" w:rsidP="00181EC5">
            <w:pPr>
              <w:jc w:val="center"/>
              <w:cnfStyle w:val="000000100000"/>
              <w:rPr>
                <w:rFonts w:cs="Times New Roman"/>
              </w:rPr>
            </w:pPr>
            <w:r w:rsidRPr="00D16050">
              <w:rPr>
                <w:rFonts w:cs="Times New Roman"/>
              </w:rPr>
              <w:t>Education Research Grant- English Learners</w:t>
            </w:r>
          </w:p>
        </w:tc>
      </w:tr>
      <w:tr w:rsidR="00A563B5" w:rsidRPr="00D16050" w:rsidTr="00181EC5">
        <w:tc>
          <w:tcPr>
            <w:cnfStyle w:val="001000000000"/>
            <w:tcW w:w="3192" w:type="dxa"/>
          </w:tcPr>
          <w:p w:rsidR="00A563B5" w:rsidRPr="00D16050" w:rsidRDefault="00A563B5" w:rsidP="00181EC5">
            <w:pPr>
              <w:jc w:val="center"/>
              <w:rPr>
                <w:rFonts w:cs="Times New Roman"/>
              </w:rPr>
            </w:pPr>
            <w:r w:rsidRPr="00D16050">
              <w:rPr>
                <w:rFonts w:cs="Times New Roman"/>
              </w:rPr>
              <w:t>Purpose</w:t>
            </w:r>
          </w:p>
        </w:tc>
        <w:tc>
          <w:tcPr>
            <w:tcW w:w="3192" w:type="dxa"/>
          </w:tcPr>
          <w:p w:rsidR="00A563B5" w:rsidRPr="00D16050" w:rsidRDefault="00A563B5" w:rsidP="00A563B5">
            <w:pPr>
              <w:pStyle w:val="ListParagraph"/>
              <w:numPr>
                <w:ilvl w:val="0"/>
                <w:numId w:val="1"/>
              </w:numPr>
              <w:jc w:val="center"/>
              <w:cnfStyle w:val="000000000000"/>
              <w:rPr>
                <w:rFonts w:cs="Times New Roman"/>
              </w:rPr>
            </w:pPr>
            <w:r w:rsidRPr="00D16050">
              <w:rPr>
                <w:rFonts w:cs="Times New Roman"/>
              </w:rPr>
              <w:t>To narrow the achievement gap between ELL and Regular Education students</w:t>
            </w:r>
          </w:p>
          <w:p w:rsidR="00A563B5" w:rsidRPr="00D16050" w:rsidRDefault="00A563B5" w:rsidP="00A563B5">
            <w:pPr>
              <w:pStyle w:val="ListParagraph"/>
              <w:numPr>
                <w:ilvl w:val="0"/>
                <w:numId w:val="1"/>
              </w:numPr>
              <w:jc w:val="center"/>
              <w:cnfStyle w:val="000000000000"/>
              <w:rPr>
                <w:rFonts w:cs="Times New Roman"/>
              </w:rPr>
            </w:pPr>
            <w:r w:rsidRPr="00D16050">
              <w:rPr>
                <w:rFonts w:cs="Times New Roman"/>
              </w:rPr>
              <w:t>Support strategies that will provide intensive and accelerated opportunities for middle and high school students</w:t>
            </w:r>
          </w:p>
        </w:tc>
        <w:tc>
          <w:tcPr>
            <w:tcW w:w="3192" w:type="dxa"/>
          </w:tcPr>
          <w:p w:rsidR="00A563B5" w:rsidRPr="00D16050" w:rsidRDefault="00A563B5" w:rsidP="00A563B5">
            <w:pPr>
              <w:pStyle w:val="ListParagraph"/>
              <w:numPr>
                <w:ilvl w:val="0"/>
                <w:numId w:val="1"/>
              </w:numPr>
              <w:jc w:val="center"/>
              <w:cnfStyle w:val="000000000000"/>
              <w:rPr>
                <w:rFonts w:cs="Times New Roman"/>
              </w:rPr>
            </w:pPr>
            <w:r w:rsidRPr="00D16050">
              <w:rPr>
                <w:rFonts w:cs="Times New Roman"/>
              </w:rPr>
              <w:t>To improve  language proficiency, reading, writing, math and science of K-12 students</w:t>
            </w:r>
          </w:p>
          <w:p w:rsidR="00A563B5" w:rsidRPr="00D16050" w:rsidRDefault="00A563B5" w:rsidP="00A563B5">
            <w:pPr>
              <w:pStyle w:val="ListParagraph"/>
              <w:numPr>
                <w:ilvl w:val="0"/>
                <w:numId w:val="1"/>
              </w:numPr>
              <w:jc w:val="center"/>
              <w:cnfStyle w:val="000000000000"/>
              <w:rPr>
                <w:rFonts w:cs="Times New Roman"/>
              </w:rPr>
            </w:pPr>
            <w:r w:rsidRPr="00D16050">
              <w:rPr>
                <w:rFonts w:cs="Times New Roman"/>
              </w:rPr>
              <w:t>Document effective tools and strategies</w:t>
            </w:r>
          </w:p>
          <w:p w:rsidR="00A563B5" w:rsidRPr="00D16050" w:rsidRDefault="00A563B5" w:rsidP="00A563B5">
            <w:pPr>
              <w:pStyle w:val="ListParagraph"/>
              <w:numPr>
                <w:ilvl w:val="0"/>
                <w:numId w:val="1"/>
              </w:numPr>
              <w:jc w:val="center"/>
              <w:cnfStyle w:val="000000000000"/>
              <w:rPr>
                <w:rFonts w:cs="Times New Roman"/>
              </w:rPr>
            </w:pPr>
            <w:r w:rsidRPr="00D16050">
              <w:rPr>
                <w:rFonts w:cs="Times New Roman"/>
              </w:rPr>
              <w:t>Provide future Professional Development</w:t>
            </w:r>
          </w:p>
        </w:tc>
      </w:tr>
      <w:tr w:rsidR="00A563B5" w:rsidRPr="00D16050" w:rsidTr="00181EC5">
        <w:trPr>
          <w:cnfStyle w:val="000000100000"/>
        </w:trPr>
        <w:tc>
          <w:tcPr>
            <w:cnfStyle w:val="001000000000"/>
            <w:tcW w:w="3192" w:type="dxa"/>
          </w:tcPr>
          <w:p w:rsidR="00A563B5" w:rsidRPr="00D16050" w:rsidRDefault="00A563B5" w:rsidP="00181EC5">
            <w:pPr>
              <w:jc w:val="center"/>
              <w:rPr>
                <w:rFonts w:cs="Times New Roman"/>
              </w:rPr>
            </w:pPr>
            <w:r w:rsidRPr="00D16050">
              <w:rPr>
                <w:rFonts w:cs="Times New Roman"/>
              </w:rPr>
              <w:t>Funding Source</w:t>
            </w:r>
          </w:p>
        </w:tc>
        <w:tc>
          <w:tcPr>
            <w:tcW w:w="3192" w:type="dxa"/>
          </w:tcPr>
          <w:p w:rsidR="00A563B5" w:rsidRPr="00D16050" w:rsidRDefault="00A563B5" w:rsidP="00181EC5">
            <w:pPr>
              <w:jc w:val="center"/>
              <w:cnfStyle w:val="000000100000"/>
              <w:rPr>
                <w:rFonts w:cs="Times New Roman"/>
              </w:rPr>
            </w:pPr>
            <w:r w:rsidRPr="00D16050">
              <w:rPr>
                <w:rFonts w:cs="Times New Roman"/>
              </w:rPr>
              <w:t>The Executive Office of Education</w:t>
            </w:r>
          </w:p>
        </w:tc>
        <w:tc>
          <w:tcPr>
            <w:tcW w:w="3192" w:type="dxa"/>
          </w:tcPr>
          <w:p w:rsidR="00A563B5" w:rsidRPr="00D16050" w:rsidRDefault="00A563B5" w:rsidP="00181EC5">
            <w:pPr>
              <w:jc w:val="center"/>
              <w:cnfStyle w:val="000000100000"/>
              <w:rPr>
                <w:rFonts w:cs="Times New Roman"/>
              </w:rPr>
            </w:pPr>
            <w:r w:rsidRPr="00D16050">
              <w:rPr>
                <w:rFonts w:cs="Times New Roman"/>
              </w:rPr>
              <w:t>IES- Institute of Education Sciences</w:t>
            </w:r>
          </w:p>
        </w:tc>
      </w:tr>
      <w:tr w:rsidR="00A563B5" w:rsidRPr="00D16050" w:rsidTr="00181EC5">
        <w:tc>
          <w:tcPr>
            <w:cnfStyle w:val="001000000000"/>
            <w:tcW w:w="3192" w:type="dxa"/>
          </w:tcPr>
          <w:p w:rsidR="00A563B5" w:rsidRPr="00D16050" w:rsidRDefault="00A563B5" w:rsidP="00181EC5">
            <w:pPr>
              <w:jc w:val="center"/>
              <w:rPr>
                <w:rFonts w:cs="Times New Roman"/>
              </w:rPr>
            </w:pPr>
            <w:r w:rsidRPr="00D16050">
              <w:rPr>
                <w:rFonts w:cs="Times New Roman"/>
              </w:rPr>
              <w:t>Eligibility Requirements</w:t>
            </w:r>
          </w:p>
        </w:tc>
        <w:tc>
          <w:tcPr>
            <w:tcW w:w="3192" w:type="dxa"/>
          </w:tcPr>
          <w:p w:rsidR="00A563B5" w:rsidRPr="00D16050" w:rsidRDefault="00A563B5" w:rsidP="00A563B5">
            <w:pPr>
              <w:pStyle w:val="ListParagraph"/>
              <w:numPr>
                <w:ilvl w:val="0"/>
                <w:numId w:val="2"/>
              </w:numPr>
              <w:jc w:val="center"/>
              <w:cnfStyle w:val="000000000000"/>
              <w:rPr>
                <w:rFonts w:cs="Times New Roman"/>
              </w:rPr>
            </w:pPr>
            <w:r w:rsidRPr="00D16050">
              <w:rPr>
                <w:rFonts w:cs="Times New Roman"/>
              </w:rPr>
              <w:t>Must serve a Gateway city</w:t>
            </w:r>
          </w:p>
          <w:p w:rsidR="00A563B5" w:rsidRPr="00D16050" w:rsidRDefault="00A563B5" w:rsidP="00A563B5">
            <w:pPr>
              <w:pStyle w:val="ListParagraph"/>
              <w:numPr>
                <w:ilvl w:val="0"/>
                <w:numId w:val="2"/>
              </w:numPr>
              <w:jc w:val="center"/>
              <w:cnfStyle w:val="000000000000"/>
              <w:rPr>
                <w:rFonts w:cs="Times New Roman"/>
              </w:rPr>
            </w:pPr>
            <w:r w:rsidRPr="00D16050">
              <w:rPr>
                <w:rFonts w:cs="Times New Roman"/>
              </w:rPr>
              <w:t>Be a public school district, charter school, non-profit education, higher education institution or community development center</w:t>
            </w:r>
          </w:p>
        </w:tc>
        <w:tc>
          <w:tcPr>
            <w:tcW w:w="3192" w:type="dxa"/>
          </w:tcPr>
          <w:p w:rsidR="00A563B5" w:rsidRPr="00D16050" w:rsidRDefault="00A563B5" w:rsidP="00A563B5">
            <w:pPr>
              <w:pStyle w:val="ListParagraph"/>
              <w:numPr>
                <w:ilvl w:val="0"/>
                <w:numId w:val="2"/>
              </w:numPr>
              <w:jc w:val="center"/>
              <w:cnfStyle w:val="000000000000"/>
              <w:rPr>
                <w:rFonts w:cs="Times New Roman"/>
              </w:rPr>
            </w:pPr>
            <w:r w:rsidRPr="00D16050">
              <w:rPr>
                <w:rFonts w:cs="Times New Roman"/>
              </w:rPr>
              <w:t>Single research goal</w:t>
            </w:r>
          </w:p>
          <w:p w:rsidR="00A563B5" w:rsidRPr="00D16050" w:rsidRDefault="00A563B5" w:rsidP="00A563B5">
            <w:pPr>
              <w:pStyle w:val="ListParagraph"/>
              <w:numPr>
                <w:ilvl w:val="0"/>
                <w:numId w:val="2"/>
              </w:numPr>
              <w:jc w:val="center"/>
              <w:cnfStyle w:val="000000000000"/>
              <w:rPr>
                <w:rFonts w:cs="Times New Roman"/>
              </w:rPr>
            </w:pPr>
            <w:r w:rsidRPr="00D16050">
              <w:rPr>
                <w:rFonts w:cs="Times New Roman"/>
              </w:rPr>
              <w:t>Include EL students in K-12 setting</w:t>
            </w:r>
          </w:p>
          <w:p w:rsidR="00A563B5" w:rsidRPr="00D16050" w:rsidRDefault="00A563B5" w:rsidP="00A563B5">
            <w:pPr>
              <w:pStyle w:val="ListParagraph"/>
              <w:numPr>
                <w:ilvl w:val="0"/>
                <w:numId w:val="2"/>
              </w:numPr>
              <w:jc w:val="center"/>
              <w:cnfStyle w:val="000000000000"/>
              <w:rPr>
                <w:rFonts w:cs="Times New Roman"/>
              </w:rPr>
            </w:pPr>
            <w:r w:rsidRPr="00D16050">
              <w:rPr>
                <w:rFonts w:cs="Times New Roman"/>
              </w:rPr>
              <w:t>Must address research goal to exploration, development and innovation, efficacy and replication, effectiveness or measurement</w:t>
            </w:r>
          </w:p>
        </w:tc>
      </w:tr>
      <w:tr w:rsidR="00A563B5" w:rsidRPr="00D16050" w:rsidTr="00181EC5">
        <w:trPr>
          <w:cnfStyle w:val="000000100000"/>
        </w:trPr>
        <w:tc>
          <w:tcPr>
            <w:cnfStyle w:val="001000000000"/>
            <w:tcW w:w="3192" w:type="dxa"/>
          </w:tcPr>
          <w:p w:rsidR="00A563B5" w:rsidRPr="00D16050" w:rsidRDefault="00A563B5" w:rsidP="00181EC5">
            <w:pPr>
              <w:jc w:val="center"/>
              <w:rPr>
                <w:rFonts w:cs="Times New Roman"/>
              </w:rPr>
            </w:pPr>
            <w:r w:rsidRPr="00D16050">
              <w:rPr>
                <w:rFonts w:cs="Times New Roman"/>
              </w:rPr>
              <w:t>Basic Components</w:t>
            </w:r>
          </w:p>
        </w:tc>
        <w:tc>
          <w:tcPr>
            <w:tcW w:w="3192" w:type="dxa"/>
          </w:tcPr>
          <w:p w:rsidR="00A563B5" w:rsidRPr="00D16050" w:rsidRDefault="00A563B5" w:rsidP="00A563B5">
            <w:pPr>
              <w:pStyle w:val="ListParagraph"/>
              <w:numPr>
                <w:ilvl w:val="0"/>
                <w:numId w:val="3"/>
              </w:numPr>
              <w:jc w:val="center"/>
              <w:cnfStyle w:val="000000100000"/>
              <w:rPr>
                <w:rFonts w:cs="Times New Roman"/>
              </w:rPr>
            </w:pPr>
            <w:r w:rsidRPr="00D16050">
              <w:rPr>
                <w:rFonts w:cs="Times New Roman"/>
              </w:rPr>
              <w:t>Operate a summer English Learning Academy</w:t>
            </w:r>
          </w:p>
          <w:p w:rsidR="00A563B5" w:rsidRPr="00D16050" w:rsidRDefault="00A563B5" w:rsidP="00A563B5">
            <w:pPr>
              <w:pStyle w:val="ListParagraph"/>
              <w:numPr>
                <w:ilvl w:val="0"/>
                <w:numId w:val="3"/>
              </w:numPr>
              <w:jc w:val="center"/>
              <w:cnfStyle w:val="000000100000"/>
              <w:rPr>
                <w:rFonts w:cs="Times New Roman"/>
              </w:rPr>
            </w:pPr>
            <w:r w:rsidRPr="00D16050">
              <w:rPr>
                <w:rFonts w:cs="Times New Roman"/>
              </w:rPr>
              <w:t>Define method for determining EL students</w:t>
            </w:r>
          </w:p>
          <w:p w:rsidR="00A563B5" w:rsidRPr="00D16050" w:rsidRDefault="00A563B5" w:rsidP="00A563B5">
            <w:pPr>
              <w:pStyle w:val="ListParagraph"/>
              <w:numPr>
                <w:ilvl w:val="0"/>
                <w:numId w:val="3"/>
              </w:numPr>
              <w:jc w:val="center"/>
              <w:cnfStyle w:val="000000100000"/>
              <w:rPr>
                <w:rFonts w:cs="Times New Roman"/>
              </w:rPr>
            </w:pPr>
            <w:r w:rsidRPr="00D16050">
              <w:rPr>
                <w:rFonts w:cs="Times New Roman"/>
              </w:rPr>
              <w:t>Commit to providing data upon request</w:t>
            </w:r>
          </w:p>
          <w:p w:rsidR="00A563B5" w:rsidRPr="00D16050" w:rsidRDefault="00A563B5" w:rsidP="00A563B5">
            <w:pPr>
              <w:pStyle w:val="ListParagraph"/>
              <w:numPr>
                <w:ilvl w:val="0"/>
                <w:numId w:val="3"/>
              </w:numPr>
              <w:jc w:val="center"/>
              <w:cnfStyle w:val="000000100000"/>
              <w:rPr>
                <w:rFonts w:cs="Times New Roman"/>
              </w:rPr>
            </w:pPr>
            <w:r w:rsidRPr="00D16050">
              <w:rPr>
                <w:rFonts w:cs="Times New Roman"/>
              </w:rPr>
              <w:t>Outcomes to include:</w:t>
            </w:r>
          </w:p>
          <w:p w:rsidR="00A563B5" w:rsidRPr="00D16050" w:rsidRDefault="00A563B5" w:rsidP="00A563B5">
            <w:pPr>
              <w:pStyle w:val="ListParagraph"/>
              <w:numPr>
                <w:ilvl w:val="0"/>
                <w:numId w:val="4"/>
              </w:numPr>
              <w:jc w:val="center"/>
              <w:cnfStyle w:val="000000100000"/>
              <w:rPr>
                <w:rFonts w:cs="Times New Roman"/>
              </w:rPr>
            </w:pPr>
            <w:r w:rsidRPr="00D16050">
              <w:rPr>
                <w:rFonts w:cs="Times New Roman"/>
              </w:rPr>
              <w:t>Measurable in English Language Proficiency</w:t>
            </w:r>
          </w:p>
          <w:p w:rsidR="00A563B5" w:rsidRPr="00D16050" w:rsidRDefault="00A563B5" w:rsidP="00A563B5">
            <w:pPr>
              <w:pStyle w:val="ListParagraph"/>
              <w:numPr>
                <w:ilvl w:val="0"/>
                <w:numId w:val="4"/>
              </w:numPr>
              <w:jc w:val="center"/>
              <w:cnfStyle w:val="000000100000"/>
              <w:rPr>
                <w:rFonts w:cs="Times New Roman"/>
              </w:rPr>
            </w:pPr>
            <w:r w:rsidRPr="00D16050">
              <w:rPr>
                <w:rFonts w:cs="Times New Roman"/>
              </w:rPr>
              <w:t>Reinstate confidence in ELL learning abilities</w:t>
            </w:r>
          </w:p>
          <w:p w:rsidR="00A563B5" w:rsidRPr="00D16050" w:rsidRDefault="00A563B5" w:rsidP="00A563B5">
            <w:pPr>
              <w:pStyle w:val="ListParagraph"/>
              <w:numPr>
                <w:ilvl w:val="0"/>
                <w:numId w:val="4"/>
              </w:numPr>
              <w:jc w:val="center"/>
              <w:cnfStyle w:val="000000100000"/>
              <w:rPr>
                <w:rFonts w:cs="Times New Roman"/>
              </w:rPr>
            </w:pPr>
            <w:r w:rsidRPr="00D16050">
              <w:rPr>
                <w:rFonts w:cs="Times New Roman"/>
              </w:rPr>
              <w:t>Long-term improvements on MCAS (Massachusetts Comprehensive Assessment System)</w:t>
            </w:r>
          </w:p>
        </w:tc>
        <w:tc>
          <w:tcPr>
            <w:tcW w:w="3192" w:type="dxa"/>
          </w:tcPr>
          <w:p w:rsidR="00A563B5" w:rsidRPr="00D16050" w:rsidRDefault="00A563B5" w:rsidP="00A563B5">
            <w:pPr>
              <w:pStyle w:val="ListParagraph"/>
              <w:numPr>
                <w:ilvl w:val="0"/>
                <w:numId w:val="5"/>
              </w:numPr>
              <w:jc w:val="center"/>
              <w:cnfStyle w:val="000000100000"/>
              <w:rPr>
                <w:rFonts w:cs="Times New Roman"/>
              </w:rPr>
            </w:pPr>
            <w:r w:rsidRPr="00D16050">
              <w:rPr>
                <w:rFonts w:cs="Times New Roman"/>
              </w:rPr>
              <w:t>Propose research topic related to EL students</w:t>
            </w:r>
          </w:p>
          <w:p w:rsidR="00A563B5" w:rsidRPr="00D16050" w:rsidRDefault="00A563B5" w:rsidP="00A563B5">
            <w:pPr>
              <w:pStyle w:val="ListParagraph"/>
              <w:numPr>
                <w:ilvl w:val="0"/>
                <w:numId w:val="5"/>
              </w:numPr>
              <w:jc w:val="center"/>
              <w:cnfStyle w:val="000000100000"/>
              <w:rPr>
                <w:rFonts w:cs="Times New Roman"/>
              </w:rPr>
            </w:pPr>
            <w:r w:rsidRPr="00D16050">
              <w:rPr>
                <w:rFonts w:cs="Times New Roman"/>
              </w:rPr>
              <w:t>Identify long-term outcomes</w:t>
            </w:r>
          </w:p>
          <w:p w:rsidR="00A563B5" w:rsidRPr="00D16050" w:rsidRDefault="00A563B5" w:rsidP="00A563B5">
            <w:pPr>
              <w:pStyle w:val="ListParagraph"/>
              <w:numPr>
                <w:ilvl w:val="0"/>
                <w:numId w:val="5"/>
              </w:numPr>
              <w:jc w:val="center"/>
              <w:cnfStyle w:val="000000100000"/>
              <w:rPr>
                <w:rFonts w:cs="Times New Roman"/>
              </w:rPr>
            </w:pPr>
            <w:r w:rsidRPr="00D16050">
              <w:rPr>
                <w:rFonts w:cs="Times New Roman"/>
              </w:rPr>
              <w:t>Develop a variety of strategies and tools</w:t>
            </w:r>
          </w:p>
          <w:p w:rsidR="00A563B5" w:rsidRPr="00D16050" w:rsidRDefault="00A563B5" w:rsidP="00A563B5">
            <w:pPr>
              <w:pStyle w:val="ListParagraph"/>
              <w:numPr>
                <w:ilvl w:val="0"/>
                <w:numId w:val="5"/>
              </w:numPr>
              <w:jc w:val="center"/>
              <w:cnfStyle w:val="000000100000"/>
              <w:rPr>
                <w:rFonts w:cs="Times New Roman"/>
              </w:rPr>
            </w:pPr>
            <w:r w:rsidRPr="00D16050">
              <w:rPr>
                <w:rFonts w:cs="Times New Roman"/>
              </w:rPr>
              <w:t>Address outcomes important to students, parents, teachers and administrators</w:t>
            </w:r>
          </w:p>
          <w:p w:rsidR="00A563B5" w:rsidRPr="00D16050" w:rsidRDefault="00A563B5" w:rsidP="00A563B5">
            <w:pPr>
              <w:pStyle w:val="ListParagraph"/>
              <w:numPr>
                <w:ilvl w:val="0"/>
                <w:numId w:val="5"/>
              </w:numPr>
              <w:jc w:val="center"/>
              <w:cnfStyle w:val="000000100000"/>
              <w:rPr>
                <w:rFonts w:cs="Times New Roman"/>
              </w:rPr>
            </w:pPr>
            <w:r w:rsidRPr="00D16050">
              <w:rPr>
                <w:rFonts w:cs="Times New Roman"/>
              </w:rPr>
              <w:t>Create professional development</w:t>
            </w:r>
          </w:p>
          <w:p w:rsidR="00A563B5" w:rsidRPr="00D16050" w:rsidRDefault="00A563B5" w:rsidP="00A563B5">
            <w:pPr>
              <w:pStyle w:val="ListParagraph"/>
              <w:numPr>
                <w:ilvl w:val="0"/>
                <w:numId w:val="5"/>
              </w:numPr>
              <w:jc w:val="center"/>
              <w:cnfStyle w:val="000000100000"/>
              <w:rPr>
                <w:rFonts w:cs="Times New Roman"/>
              </w:rPr>
            </w:pPr>
            <w:r w:rsidRPr="00D16050">
              <w:rPr>
                <w:rFonts w:cs="Times New Roman"/>
              </w:rPr>
              <w:t>Must include information on student outcomes</w:t>
            </w:r>
          </w:p>
        </w:tc>
      </w:tr>
    </w:tbl>
    <w:p w:rsidR="00A563B5" w:rsidRPr="009C75E9" w:rsidRDefault="00A563B5" w:rsidP="00A563B5">
      <w:pPr>
        <w:jc w:val="center"/>
        <w:rPr>
          <w:b/>
          <w:sz w:val="28"/>
          <w:szCs w:val="28"/>
        </w:rPr>
      </w:pPr>
      <w:r w:rsidRPr="009C75E9">
        <w:rPr>
          <w:b/>
          <w:sz w:val="28"/>
          <w:szCs w:val="28"/>
        </w:rPr>
        <w:t>Grant Research Chart</w:t>
      </w:r>
    </w:p>
    <w:tbl>
      <w:tblPr>
        <w:tblStyle w:val="TableGrid"/>
        <w:tblW w:w="0" w:type="auto"/>
        <w:tblLook w:val="04A0"/>
      </w:tblPr>
      <w:tblGrid>
        <w:gridCol w:w="3192"/>
        <w:gridCol w:w="3192"/>
        <w:gridCol w:w="3192"/>
      </w:tblGrid>
      <w:tr w:rsidR="00A563B5" w:rsidTr="00181EC5">
        <w:tc>
          <w:tcPr>
            <w:tcW w:w="3192" w:type="dxa"/>
          </w:tcPr>
          <w:p w:rsidR="00A563B5" w:rsidRPr="00BD434C" w:rsidRDefault="00A563B5" w:rsidP="00181EC5">
            <w:pPr>
              <w:rPr>
                <w:b/>
                <w:sz w:val="28"/>
                <w:szCs w:val="28"/>
              </w:rPr>
            </w:pPr>
            <w:r>
              <w:rPr>
                <w:b/>
                <w:sz w:val="28"/>
                <w:szCs w:val="28"/>
              </w:rPr>
              <w:t>TYPE</w:t>
            </w:r>
          </w:p>
        </w:tc>
        <w:tc>
          <w:tcPr>
            <w:tcW w:w="3192" w:type="dxa"/>
          </w:tcPr>
          <w:p w:rsidR="00A563B5" w:rsidRDefault="00A563B5" w:rsidP="00181EC5">
            <w:pPr>
              <w:rPr>
                <w:sz w:val="28"/>
                <w:szCs w:val="28"/>
              </w:rPr>
            </w:pPr>
            <w:r>
              <w:rPr>
                <w:sz w:val="28"/>
                <w:szCs w:val="28"/>
              </w:rPr>
              <w:t>Governmental</w:t>
            </w:r>
          </w:p>
        </w:tc>
        <w:tc>
          <w:tcPr>
            <w:tcW w:w="3192" w:type="dxa"/>
          </w:tcPr>
          <w:p w:rsidR="00A563B5" w:rsidRDefault="00A563B5" w:rsidP="00181EC5">
            <w:pPr>
              <w:rPr>
                <w:sz w:val="28"/>
                <w:szCs w:val="28"/>
              </w:rPr>
            </w:pPr>
            <w:r>
              <w:rPr>
                <w:sz w:val="28"/>
                <w:szCs w:val="28"/>
              </w:rPr>
              <w:t>Non Governmental</w:t>
            </w:r>
          </w:p>
        </w:tc>
      </w:tr>
      <w:tr w:rsidR="00A563B5" w:rsidTr="00181EC5">
        <w:tc>
          <w:tcPr>
            <w:tcW w:w="3192" w:type="dxa"/>
          </w:tcPr>
          <w:p w:rsidR="00A563B5" w:rsidRPr="00BD434C" w:rsidRDefault="00A563B5" w:rsidP="00181EC5">
            <w:pPr>
              <w:rPr>
                <w:b/>
                <w:sz w:val="28"/>
                <w:szCs w:val="28"/>
              </w:rPr>
            </w:pPr>
            <w:r>
              <w:rPr>
                <w:b/>
                <w:sz w:val="28"/>
                <w:szCs w:val="28"/>
              </w:rPr>
              <w:lastRenderedPageBreak/>
              <w:t>TITLE</w:t>
            </w:r>
          </w:p>
        </w:tc>
        <w:tc>
          <w:tcPr>
            <w:tcW w:w="3192" w:type="dxa"/>
          </w:tcPr>
          <w:p w:rsidR="00A563B5" w:rsidRDefault="00A563B5" w:rsidP="00181EC5">
            <w:pPr>
              <w:rPr>
                <w:sz w:val="28"/>
                <w:szCs w:val="28"/>
              </w:rPr>
            </w:pPr>
            <w:r>
              <w:rPr>
                <w:sz w:val="28"/>
                <w:szCs w:val="28"/>
              </w:rPr>
              <w:t>Grants to States for Education for Children with Disabilities</w:t>
            </w:r>
          </w:p>
        </w:tc>
        <w:tc>
          <w:tcPr>
            <w:tcW w:w="3192" w:type="dxa"/>
          </w:tcPr>
          <w:p w:rsidR="00A563B5" w:rsidRDefault="00A563B5" w:rsidP="00181EC5">
            <w:pPr>
              <w:rPr>
                <w:sz w:val="28"/>
                <w:szCs w:val="28"/>
              </w:rPr>
            </w:pPr>
            <w:r>
              <w:rPr>
                <w:sz w:val="28"/>
                <w:szCs w:val="28"/>
              </w:rPr>
              <w:t>Individualized Special Education. Education Research</w:t>
            </w:r>
          </w:p>
        </w:tc>
      </w:tr>
      <w:tr w:rsidR="00A563B5" w:rsidTr="00181EC5">
        <w:tc>
          <w:tcPr>
            <w:tcW w:w="3192" w:type="dxa"/>
          </w:tcPr>
          <w:p w:rsidR="00A563B5" w:rsidRPr="00BD434C" w:rsidRDefault="00A563B5" w:rsidP="00181EC5">
            <w:pPr>
              <w:rPr>
                <w:b/>
                <w:sz w:val="28"/>
                <w:szCs w:val="28"/>
              </w:rPr>
            </w:pPr>
            <w:r>
              <w:rPr>
                <w:b/>
                <w:sz w:val="28"/>
                <w:szCs w:val="28"/>
              </w:rPr>
              <w:t>PURPOSE</w:t>
            </w:r>
          </w:p>
        </w:tc>
        <w:tc>
          <w:tcPr>
            <w:tcW w:w="3192" w:type="dxa"/>
          </w:tcPr>
          <w:p w:rsidR="00A563B5" w:rsidRDefault="00A563B5" w:rsidP="00181EC5">
            <w:pPr>
              <w:rPr>
                <w:sz w:val="28"/>
                <w:szCs w:val="28"/>
              </w:rPr>
            </w:pPr>
            <w:r>
              <w:rPr>
                <w:sz w:val="28"/>
                <w:szCs w:val="28"/>
              </w:rPr>
              <w:t>To provide formula grants to assist states in meeting the excess costs of providing special education and related services to children with disabilities.</w:t>
            </w:r>
          </w:p>
        </w:tc>
        <w:tc>
          <w:tcPr>
            <w:tcW w:w="3192" w:type="dxa"/>
          </w:tcPr>
          <w:p w:rsidR="00A563B5" w:rsidRDefault="00A563B5" w:rsidP="00181EC5">
            <w:pPr>
              <w:rPr>
                <w:sz w:val="28"/>
                <w:szCs w:val="28"/>
              </w:rPr>
            </w:pPr>
            <w:r>
              <w:rPr>
                <w:sz w:val="28"/>
                <w:szCs w:val="28"/>
              </w:rPr>
              <w:t>To focus on development and evaluation programs for IEP teams, methods of managing and monitoring the IEP process using scientific methods</w:t>
            </w:r>
          </w:p>
        </w:tc>
      </w:tr>
      <w:tr w:rsidR="00A563B5" w:rsidTr="00181EC5">
        <w:tc>
          <w:tcPr>
            <w:tcW w:w="3192" w:type="dxa"/>
          </w:tcPr>
          <w:p w:rsidR="00A563B5" w:rsidRPr="00BD434C" w:rsidRDefault="00A563B5" w:rsidP="00181EC5">
            <w:pPr>
              <w:rPr>
                <w:b/>
                <w:sz w:val="28"/>
                <w:szCs w:val="28"/>
              </w:rPr>
            </w:pPr>
            <w:r>
              <w:rPr>
                <w:b/>
                <w:sz w:val="28"/>
                <w:szCs w:val="28"/>
              </w:rPr>
              <w:t>FUNDING SOURCE</w:t>
            </w:r>
          </w:p>
        </w:tc>
        <w:tc>
          <w:tcPr>
            <w:tcW w:w="3192" w:type="dxa"/>
          </w:tcPr>
          <w:p w:rsidR="00A563B5" w:rsidRDefault="00A563B5" w:rsidP="00181EC5">
            <w:pPr>
              <w:rPr>
                <w:sz w:val="28"/>
                <w:szCs w:val="28"/>
              </w:rPr>
            </w:pPr>
            <w:r>
              <w:rPr>
                <w:sz w:val="28"/>
                <w:szCs w:val="28"/>
              </w:rPr>
              <w:t>Federal government</w:t>
            </w:r>
          </w:p>
        </w:tc>
        <w:tc>
          <w:tcPr>
            <w:tcW w:w="3192" w:type="dxa"/>
          </w:tcPr>
          <w:p w:rsidR="00A563B5" w:rsidRDefault="00A563B5" w:rsidP="00181EC5">
            <w:pPr>
              <w:rPr>
                <w:sz w:val="28"/>
                <w:szCs w:val="28"/>
              </w:rPr>
            </w:pPr>
            <w:r>
              <w:rPr>
                <w:sz w:val="28"/>
                <w:szCs w:val="28"/>
              </w:rPr>
              <w:t>Institute of Education Science</w:t>
            </w:r>
          </w:p>
        </w:tc>
      </w:tr>
      <w:tr w:rsidR="00A563B5" w:rsidTr="00181EC5">
        <w:tc>
          <w:tcPr>
            <w:tcW w:w="3192" w:type="dxa"/>
          </w:tcPr>
          <w:p w:rsidR="00A563B5" w:rsidRPr="00BD434C" w:rsidRDefault="00A563B5" w:rsidP="00181EC5">
            <w:pPr>
              <w:rPr>
                <w:b/>
                <w:sz w:val="28"/>
                <w:szCs w:val="28"/>
              </w:rPr>
            </w:pPr>
            <w:r>
              <w:rPr>
                <w:b/>
                <w:sz w:val="28"/>
                <w:szCs w:val="28"/>
              </w:rPr>
              <w:t>ELEGIBILITY REQUIREMENTS</w:t>
            </w:r>
          </w:p>
        </w:tc>
        <w:tc>
          <w:tcPr>
            <w:tcW w:w="3192" w:type="dxa"/>
          </w:tcPr>
          <w:p w:rsidR="00A563B5" w:rsidRDefault="00A563B5" w:rsidP="00181EC5">
            <w:pPr>
              <w:rPr>
                <w:sz w:val="28"/>
                <w:szCs w:val="28"/>
              </w:rPr>
            </w:pPr>
            <w:r>
              <w:rPr>
                <w:sz w:val="28"/>
                <w:szCs w:val="28"/>
              </w:rPr>
              <w:t>States must serve all children with disabilities between the ages of 3 to 21.</w:t>
            </w:r>
          </w:p>
        </w:tc>
        <w:tc>
          <w:tcPr>
            <w:tcW w:w="3192" w:type="dxa"/>
          </w:tcPr>
          <w:p w:rsidR="00A563B5" w:rsidRDefault="00A563B5" w:rsidP="00181EC5">
            <w:pPr>
              <w:rPr>
                <w:sz w:val="28"/>
                <w:szCs w:val="28"/>
              </w:rPr>
            </w:pPr>
            <w:r>
              <w:rPr>
                <w:sz w:val="28"/>
                <w:szCs w:val="28"/>
              </w:rPr>
              <w:t>Must have the ability and capacity to conduct scientific valid research</w:t>
            </w:r>
          </w:p>
        </w:tc>
      </w:tr>
      <w:tr w:rsidR="00A563B5" w:rsidTr="00181EC5">
        <w:tc>
          <w:tcPr>
            <w:tcW w:w="3192" w:type="dxa"/>
          </w:tcPr>
          <w:p w:rsidR="00A563B5" w:rsidRPr="007B0325" w:rsidRDefault="00A563B5" w:rsidP="00181EC5">
            <w:pPr>
              <w:rPr>
                <w:b/>
                <w:sz w:val="28"/>
                <w:szCs w:val="28"/>
              </w:rPr>
            </w:pPr>
            <w:r>
              <w:rPr>
                <w:b/>
                <w:sz w:val="28"/>
                <w:szCs w:val="28"/>
              </w:rPr>
              <w:t>BASIC COMPONENTS</w:t>
            </w:r>
          </w:p>
        </w:tc>
        <w:tc>
          <w:tcPr>
            <w:tcW w:w="3192" w:type="dxa"/>
          </w:tcPr>
          <w:p w:rsidR="00A563B5" w:rsidRDefault="00A563B5" w:rsidP="00181EC5">
            <w:pPr>
              <w:rPr>
                <w:sz w:val="28"/>
                <w:szCs w:val="28"/>
              </w:rPr>
            </w:pPr>
            <w:r>
              <w:rPr>
                <w:sz w:val="28"/>
                <w:szCs w:val="28"/>
              </w:rPr>
              <w:t>Funds could be used for salaries for special education teachers, cost associated with related services personnel, technology in the classroom, or cost of mediation.</w:t>
            </w:r>
          </w:p>
        </w:tc>
        <w:tc>
          <w:tcPr>
            <w:tcW w:w="3192" w:type="dxa"/>
          </w:tcPr>
          <w:p w:rsidR="00A563B5" w:rsidRDefault="00A563B5" w:rsidP="00181EC5">
            <w:pPr>
              <w:rPr>
                <w:sz w:val="28"/>
                <w:szCs w:val="28"/>
              </w:rPr>
            </w:pPr>
            <w:r>
              <w:rPr>
                <w:sz w:val="28"/>
                <w:szCs w:val="28"/>
              </w:rPr>
              <w:t>Funds are used to identify, develop, and validate effective educational programs for special education students through research.</w:t>
            </w:r>
          </w:p>
        </w:tc>
      </w:tr>
    </w:tbl>
    <w:p w:rsidR="00A563B5" w:rsidRPr="00BD434C" w:rsidRDefault="00A563B5" w:rsidP="00A563B5">
      <w:pPr>
        <w:rPr>
          <w:sz w:val="28"/>
          <w:szCs w:val="28"/>
        </w:rPr>
      </w:pPr>
    </w:p>
    <w:p w:rsidR="00A563B5" w:rsidRPr="00F52F31" w:rsidRDefault="00A563B5" w:rsidP="00A563B5">
      <w:pPr>
        <w:pStyle w:val="APAHeader"/>
        <w:rPr>
          <w:b/>
        </w:rPr>
      </w:pPr>
      <w:bookmarkStart w:id="0" w:name="bkFirstPageTitle"/>
      <w:r w:rsidRPr="00F52F31">
        <w:rPr>
          <w:b/>
        </w:rPr>
        <w:t>Grant Research Chart</w:t>
      </w:r>
      <w:bookmarkEnd w:id="0"/>
    </w:p>
    <w:tbl>
      <w:tblPr>
        <w:tblStyle w:val="TableGrid"/>
        <w:tblW w:w="0" w:type="auto"/>
        <w:tblLook w:val="04A0"/>
      </w:tblPr>
      <w:tblGrid>
        <w:gridCol w:w="3192"/>
        <w:gridCol w:w="3192"/>
        <w:gridCol w:w="3192"/>
      </w:tblGrid>
      <w:tr w:rsidR="00A563B5" w:rsidRPr="00F52F31" w:rsidTr="00181EC5">
        <w:tc>
          <w:tcPr>
            <w:tcW w:w="3192" w:type="dxa"/>
          </w:tcPr>
          <w:p w:rsidR="00A563B5" w:rsidRPr="00F52F31" w:rsidRDefault="00A563B5" w:rsidP="00181EC5">
            <w:pPr>
              <w:pStyle w:val="APA"/>
              <w:spacing w:line="240" w:lineRule="auto"/>
              <w:ind w:firstLine="0"/>
              <w:jc w:val="center"/>
              <w:rPr>
                <w:b/>
                <w:sz w:val="20"/>
              </w:rPr>
            </w:pPr>
            <w:r w:rsidRPr="00F52F31">
              <w:rPr>
                <w:b/>
                <w:sz w:val="20"/>
              </w:rPr>
              <w:t>Grant type</w:t>
            </w:r>
          </w:p>
        </w:tc>
        <w:tc>
          <w:tcPr>
            <w:tcW w:w="3192" w:type="dxa"/>
          </w:tcPr>
          <w:p w:rsidR="00A563B5" w:rsidRPr="00F52F31" w:rsidRDefault="00A563B5" w:rsidP="00181EC5">
            <w:pPr>
              <w:pStyle w:val="APA"/>
              <w:spacing w:line="240" w:lineRule="auto"/>
              <w:ind w:firstLine="0"/>
              <w:jc w:val="center"/>
              <w:rPr>
                <w:b/>
                <w:sz w:val="20"/>
              </w:rPr>
            </w:pPr>
            <w:r w:rsidRPr="00F52F31">
              <w:rPr>
                <w:b/>
                <w:color w:val="333333"/>
                <w:sz w:val="20"/>
              </w:rPr>
              <w:t>Governmental grant</w:t>
            </w:r>
          </w:p>
        </w:tc>
        <w:tc>
          <w:tcPr>
            <w:tcW w:w="3192" w:type="dxa"/>
          </w:tcPr>
          <w:p w:rsidR="00A563B5" w:rsidRPr="00F52F31" w:rsidRDefault="00A563B5" w:rsidP="00181EC5">
            <w:pPr>
              <w:pStyle w:val="APA"/>
              <w:spacing w:line="240" w:lineRule="auto"/>
              <w:ind w:firstLine="0"/>
              <w:rPr>
                <w:b/>
                <w:sz w:val="20"/>
              </w:rPr>
            </w:pPr>
            <w:r w:rsidRPr="00F52F31">
              <w:rPr>
                <w:b/>
                <w:color w:val="333333"/>
                <w:sz w:val="20"/>
              </w:rPr>
              <w:t>Non-governmental Grant</w:t>
            </w:r>
          </w:p>
        </w:tc>
      </w:tr>
      <w:tr w:rsidR="00A563B5" w:rsidRPr="00F52F31" w:rsidTr="00181EC5">
        <w:tc>
          <w:tcPr>
            <w:tcW w:w="3192" w:type="dxa"/>
          </w:tcPr>
          <w:p w:rsidR="00A563B5" w:rsidRPr="00F52F31" w:rsidRDefault="00A563B5" w:rsidP="00181EC5">
            <w:pPr>
              <w:pStyle w:val="APA"/>
              <w:spacing w:line="240" w:lineRule="auto"/>
              <w:ind w:firstLine="0"/>
              <w:rPr>
                <w:b/>
                <w:sz w:val="20"/>
              </w:rPr>
            </w:pPr>
            <w:r w:rsidRPr="00F52F31">
              <w:rPr>
                <w:b/>
                <w:sz w:val="20"/>
              </w:rPr>
              <w:t>Title</w:t>
            </w:r>
          </w:p>
        </w:tc>
        <w:tc>
          <w:tcPr>
            <w:tcW w:w="3192" w:type="dxa"/>
          </w:tcPr>
          <w:p w:rsidR="00A563B5" w:rsidRPr="00F52F31" w:rsidRDefault="00A563B5" w:rsidP="00181EC5">
            <w:pPr>
              <w:pStyle w:val="APA"/>
              <w:spacing w:line="240" w:lineRule="auto"/>
              <w:ind w:firstLine="0"/>
              <w:rPr>
                <w:sz w:val="20"/>
              </w:rPr>
            </w:pPr>
            <w:r w:rsidRPr="00F52F31">
              <w:rPr>
                <w:sz w:val="20"/>
              </w:rPr>
              <w:t xml:space="preserve">English Language Acquisition State Grant </w:t>
            </w:r>
          </w:p>
        </w:tc>
        <w:tc>
          <w:tcPr>
            <w:tcW w:w="3192" w:type="dxa"/>
          </w:tcPr>
          <w:p w:rsidR="00A563B5" w:rsidRPr="00F52F31" w:rsidRDefault="00A563B5" w:rsidP="00181EC5">
            <w:pPr>
              <w:pStyle w:val="APA"/>
              <w:spacing w:line="240" w:lineRule="auto"/>
              <w:ind w:firstLine="0"/>
              <w:rPr>
                <w:sz w:val="20"/>
              </w:rPr>
            </w:pPr>
            <w:r w:rsidRPr="00F52F31">
              <w:rPr>
                <w:sz w:val="20"/>
              </w:rPr>
              <w:t xml:space="preserve">The Arthur </w:t>
            </w:r>
            <w:proofErr w:type="spellStart"/>
            <w:r w:rsidRPr="00F52F31">
              <w:rPr>
                <w:sz w:val="20"/>
              </w:rPr>
              <w:t>vining</w:t>
            </w:r>
            <w:proofErr w:type="spellEnd"/>
            <w:r w:rsidRPr="00F52F31">
              <w:rPr>
                <w:sz w:val="20"/>
              </w:rPr>
              <w:t xml:space="preserve"> Davis Foundation</w:t>
            </w:r>
          </w:p>
        </w:tc>
      </w:tr>
      <w:tr w:rsidR="00A563B5" w:rsidRPr="00F52F31" w:rsidTr="00181EC5">
        <w:tc>
          <w:tcPr>
            <w:tcW w:w="3192" w:type="dxa"/>
          </w:tcPr>
          <w:p w:rsidR="00A563B5" w:rsidRPr="00F52F31" w:rsidRDefault="00A563B5" w:rsidP="00181EC5">
            <w:pPr>
              <w:pStyle w:val="APA"/>
              <w:spacing w:line="240" w:lineRule="auto"/>
              <w:ind w:firstLine="0"/>
              <w:rPr>
                <w:b/>
                <w:sz w:val="20"/>
              </w:rPr>
            </w:pPr>
            <w:r w:rsidRPr="00F52F31">
              <w:rPr>
                <w:b/>
                <w:sz w:val="20"/>
              </w:rPr>
              <w:t>Purpose</w:t>
            </w:r>
          </w:p>
        </w:tc>
        <w:tc>
          <w:tcPr>
            <w:tcW w:w="3192" w:type="dxa"/>
          </w:tcPr>
          <w:p w:rsidR="00A563B5" w:rsidRPr="00F52F31" w:rsidRDefault="00A563B5" w:rsidP="00181EC5">
            <w:pPr>
              <w:pStyle w:val="APA"/>
              <w:spacing w:line="240" w:lineRule="auto"/>
              <w:ind w:firstLine="0"/>
              <w:rPr>
                <w:sz w:val="20"/>
              </w:rPr>
            </w:pPr>
            <w:r w:rsidRPr="00F52F31">
              <w:rPr>
                <w:sz w:val="20"/>
              </w:rPr>
              <w:t xml:space="preserve">This grant is for improving the education of LEP students, this can help them to achieve their academic standards in public schools and help them face the challenges in elementary and secondary schools.  </w:t>
            </w:r>
          </w:p>
        </w:tc>
        <w:tc>
          <w:tcPr>
            <w:tcW w:w="3192" w:type="dxa"/>
          </w:tcPr>
          <w:p w:rsidR="00A563B5" w:rsidRPr="00F52F31" w:rsidRDefault="00A563B5" w:rsidP="00181EC5">
            <w:pPr>
              <w:pStyle w:val="APA"/>
              <w:spacing w:line="240" w:lineRule="auto"/>
              <w:ind w:firstLine="0"/>
              <w:rPr>
                <w:sz w:val="20"/>
              </w:rPr>
            </w:pPr>
            <w:r w:rsidRPr="00F52F31">
              <w:rPr>
                <w:sz w:val="20"/>
              </w:rPr>
              <w:t xml:space="preserve">This foundation supports secondary education (grades 9-12) and contributes to strengthening education by improving professional development for educators which includes practical research, innovative use of technology, and new techniques in presenting classroom materials. </w:t>
            </w:r>
          </w:p>
        </w:tc>
      </w:tr>
      <w:tr w:rsidR="00A563B5" w:rsidRPr="00F52F31" w:rsidTr="00181EC5">
        <w:tc>
          <w:tcPr>
            <w:tcW w:w="3192" w:type="dxa"/>
          </w:tcPr>
          <w:p w:rsidR="00A563B5" w:rsidRPr="00F52F31" w:rsidRDefault="00A563B5" w:rsidP="00181EC5">
            <w:pPr>
              <w:pStyle w:val="APA"/>
              <w:spacing w:line="240" w:lineRule="auto"/>
              <w:ind w:firstLine="0"/>
              <w:rPr>
                <w:b/>
                <w:sz w:val="20"/>
              </w:rPr>
            </w:pPr>
            <w:r w:rsidRPr="00F52F31">
              <w:rPr>
                <w:b/>
                <w:sz w:val="20"/>
              </w:rPr>
              <w:t>Funding Source</w:t>
            </w:r>
          </w:p>
        </w:tc>
        <w:tc>
          <w:tcPr>
            <w:tcW w:w="3192" w:type="dxa"/>
          </w:tcPr>
          <w:p w:rsidR="00A563B5" w:rsidRPr="00F52F31" w:rsidRDefault="00A563B5" w:rsidP="00181EC5">
            <w:pPr>
              <w:autoSpaceDE w:val="0"/>
              <w:autoSpaceDN w:val="0"/>
              <w:adjustRightInd w:val="0"/>
              <w:rPr>
                <w:sz w:val="20"/>
                <w:szCs w:val="20"/>
              </w:rPr>
            </w:pPr>
            <w:r w:rsidRPr="00F52F31">
              <w:rPr>
                <w:sz w:val="20"/>
                <w:szCs w:val="20"/>
              </w:rPr>
              <w:t>The fund is distributed to the State. Awards are made to SEAs, which in turn make sub-grants</w:t>
            </w:r>
          </w:p>
          <w:p w:rsidR="00A563B5" w:rsidRPr="00F52F31" w:rsidRDefault="00A563B5" w:rsidP="00181EC5">
            <w:pPr>
              <w:pStyle w:val="APA"/>
              <w:spacing w:line="240" w:lineRule="auto"/>
              <w:ind w:firstLine="0"/>
              <w:rPr>
                <w:sz w:val="20"/>
              </w:rPr>
            </w:pPr>
            <w:proofErr w:type="gramStart"/>
            <w:r w:rsidRPr="00F52F31">
              <w:rPr>
                <w:sz w:val="20"/>
              </w:rPr>
              <w:lastRenderedPageBreak/>
              <w:t>to</w:t>
            </w:r>
            <w:proofErr w:type="gramEnd"/>
            <w:r w:rsidRPr="00F52F31">
              <w:rPr>
                <w:sz w:val="20"/>
              </w:rPr>
              <w:t xml:space="preserve"> local education agencies (LEAs).</w:t>
            </w:r>
          </w:p>
        </w:tc>
        <w:tc>
          <w:tcPr>
            <w:tcW w:w="3192" w:type="dxa"/>
          </w:tcPr>
          <w:p w:rsidR="00A563B5" w:rsidRPr="00F52F31" w:rsidRDefault="00A563B5" w:rsidP="00181EC5">
            <w:pPr>
              <w:pStyle w:val="APA"/>
              <w:spacing w:line="240" w:lineRule="auto"/>
              <w:ind w:firstLine="0"/>
              <w:rPr>
                <w:sz w:val="20"/>
              </w:rPr>
            </w:pPr>
            <w:r w:rsidRPr="00F52F31">
              <w:rPr>
                <w:sz w:val="20"/>
              </w:rPr>
              <w:lastRenderedPageBreak/>
              <w:t>Trustees</w:t>
            </w:r>
          </w:p>
        </w:tc>
      </w:tr>
      <w:tr w:rsidR="00A563B5" w:rsidRPr="00F52F31" w:rsidTr="00181EC5">
        <w:tc>
          <w:tcPr>
            <w:tcW w:w="3192" w:type="dxa"/>
          </w:tcPr>
          <w:p w:rsidR="00A563B5" w:rsidRPr="00F52F31" w:rsidRDefault="00A563B5" w:rsidP="00181EC5">
            <w:pPr>
              <w:pStyle w:val="APA"/>
              <w:spacing w:line="240" w:lineRule="auto"/>
              <w:ind w:firstLine="0"/>
              <w:rPr>
                <w:b/>
                <w:sz w:val="20"/>
              </w:rPr>
            </w:pPr>
            <w:r w:rsidRPr="00F52F31">
              <w:rPr>
                <w:b/>
                <w:sz w:val="20"/>
              </w:rPr>
              <w:lastRenderedPageBreak/>
              <w:t>Eligibility Requirement</w:t>
            </w:r>
          </w:p>
        </w:tc>
        <w:tc>
          <w:tcPr>
            <w:tcW w:w="3192" w:type="dxa"/>
          </w:tcPr>
          <w:p w:rsidR="00A563B5" w:rsidRPr="00F52F31" w:rsidRDefault="00A563B5" w:rsidP="00181EC5">
            <w:pPr>
              <w:pStyle w:val="APA"/>
              <w:spacing w:line="240" w:lineRule="auto"/>
              <w:ind w:firstLine="0"/>
              <w:rPr>
                <w:sz w:val="20"/>
              </w:rPr>
            </w:pPr>
            <w:r w:rsidRPr="00F52F31">
              <w:rPr>
                <w:sz w:val="20"/>
              </w:rPr>
              <w:t xml:space="preserve">State Educational Agency </w:t>
            </w:r>
          </w:p>
        </w:tc>
        <w:tc>
          <w:tcPr>
            <w:tcW w:w="3192" w:type="dxa"/>
          </w:tcPr>
          <w:p w:rsidR="00A563B5" w:rsidRPr="00F52F31" w:rsidRDefault="00A563B5" w:rsidP="00181EC5">
            <w:pPr>
              <w:pStyle w:val="APA"/>
              <w:spacing w:line="240" w:lineRule="auto"/>
              <w:ind w:firstLine="0"/>
              <w:rPr>
                <w:sz w:val="20"/>
              </w:rPr>
            </w:pPr>
            <w:r w:rsidRPr="00F52F31">
              <w:rPr>
                <w:sz w:val="20"/>
              </w:rPr>
              <w:t xml:space="preserve">The application must be submitted by the school president or the executive. “proposals should strive to develop solutions with potential for wide application or replication by others” </w:t>
            </w:r>
            <w:r>
              <w:rPr>
                <w:sz w:val="20"/>
              </w:rPr>
              <w:t xml:space="preserve">( The Arthur </w:t>
            </w:r>
            <w:proofErr w:type="spellStart"/>
            <w:r>
              <w:rPr>
                <w:sz w:val="20"/>
              </w:rPr>
              <w:t>Viving</w:t>
            </w:r>
            <w:proofErr w:type="spellEnd"/>
            <w:r>
              <w:rPr>
                <w:sz w:val="20"/>
              </w:rPr>
              <w:t xml:space="preserve"> Davis Foundation, 2013)</w:t>
            </w:r>
          </w:p>
        </w:tc>
      </w:tr>
      <w:tr w:rsidR="00A563B5" w:rsidRPr="00F52F31" w:rsidTr="00181EC5">
        <w:tc>
          <w:tcPr>
            <w:tcW w:w="3192" w:type="dxa"/>
          </w:tcPr>
          <w:p w:rsidR="00A563B5" w:rsidRPr="00F52F31" w:rsidRDefault="00A563B5" w:rsidP="00181EC5">
            <w:pPr>
              <w:pStyle w:val="APA"/>
              <w:spacing w:line="240" w:lineRule="auto"/>
              <w:ind w:firstLine="0"/>
              <w:rPr>
                <w:b/>
                <w:sz w:val="20"/>
              </w:rPr>
            </w:pPr>
            <w:r w:rsidRPr="00F52F31">
              <w:rPr>
                <w:b/>
                <w:sz w:val="20"/>
              </w:rPr>
              <w:t>Components of the grant proposal</w:t>
            </w:r>
          </w:p>
        </w:tc>
        <w:tc>
          <w:tcPr>
            <w:tcW w:w="3192" w:type="dxa"/>
          </w:tcPr>
          <w:p w:rsidR="00A563B5" w:rsidRPr="00F52F31" w:rsidRDefault="00A563B5" w:rsidP="00181EC5">
            <w:pPr>
              <w:autoSpaceDE w:val="0"/>
              <w:autoSpaceDN w:val="0"/>
              <w:adjustRightInd w:val="0"/>
              <w:rPr>
                <w:sz w:val="20"/>
                <w:szCs w:val="20"/>
              </w:rPr>
            </w:pPr>
            <w:r w:rsidRPr="00F52F31">
              <w:rPr>
                <w:sz w:val="20"/>
                <w:szCs w:val="20"/>
              </w:rPr>
              <w:t>Schools must have language programs to assist LEP and help their academic achievement.  “States must develop annual measurable achievement</w:t>
            </w:r>
          </w:p>
          <w:p w:rsidR="00A563B5" w:rsidRPr="00F52F31" w:rsidRDefault="00A563B5" w:rsidP="00181EC5">
            <w:pPr>
              <w:autoSpaceDE w:val="0"/>
              <w:autoSpaceDN w:val="0"/>
              <w:adjustRightInd w:val="0"/>
              <w:rPr>
                <w:sz w:val="20"/>
                <w:szCs w:val="20"/>
              </w:rPr>
            </w:pPr>
            <w:r w:rsidRPr="00F52F31">
              <w:rPr>
                <w:sz w:val="20"/>
                <w:szCs w:val="20"/>
              </w:rPr>
              <w:t>objectives for LEP students that measure their success</w:t>
            </w:r>
          </w:p>
          <w:p w:rsidR="00A563B5" w:rsidRPr="00F52F31" w:rsidRDefault="00A563B5" w:rsidP="00181EC5">
            <w:pPr>
              <w:autoSpaceDE w:val="0"/>
              <w:autoSpaceDN w:val="0"/>
              <w:adjustRightInd w:val="0"/>
              <w:rPr>
                <w:sz w:val="20"/>
                <w:szCs w:val="20"/>
              </w:rPr>
            </w:pPr>
            <w:r w:rsidRPr="00F52F31">
              <w:rPr>
                <w:sz w:val="20"/>
                <w:szCs w:val="20"/>
              </w:rPr>
              <w:t>in achieving English language proficiency and meeting</w:t>
            </w:r>
          </w:p>
          <w:p w:rsidR="00A563B5" w:rsidRPr="00F52F31" w:rsidRDefault="00A563B5" w:rsidP="00181EC5">
            <w:pPr>
              <w:autoSpaceDE w:val="0"/>
              <w:autoSpaceDN w:val="0"/>
              <w:adjustRightInd w:val="0"/>
              <w:rPr>
                <w:sz w:val="20"/>
                <w:szCs w:val="20"/>
              </w:rPr>
            </w:pPr>
            <w:r w:rsidRPr="00F52F31">
              <w:rPr>
                <w:sz w:val="20"/>
                <w:szCs w:val="20"/>
              </w:rPr>
              <w:t>challenging state academic content and achievement</w:t>
            </w:r>
          </w:p>
          <w:p w:rsidR="00A563B5" w:rsidRPr="00F52F31" w:rsidRDefault="00A563B5" w:rsidP="00181EC5">
            <w:pPr>
              <w:autoSpaceDE w:val="0"/>
              <w:autoSpaceDN w:val="0"/>
              <w:adjustRightInd w:val="0"/>
              <w:rPr>
                <w:sz w:val="20"/>
                <w:szCs w:val="20"/>
              </w:rPr>
            </w:pPr>
            <w:r w:rsidRPr="00F52F31">
              <w:rPr>
                <w:sz w:val="20"/>
                <w:szCs w:val="20"/>
              </w:rPr>
              <w:t xml:space="preserve">standards and provide high-quality professional development” </w:t>
            </w:r>
            <w:r>
              <w:rPr>
                <w:sz w:val="20"/>
                <w:szCs w:val="20"/>
              </w:rPr>
              <w:t>( U.S. Department  of Education, 2011)</w:t>
            </w:r>
          </w:p>
        </w:tc>
        <w:tc>
          <w:tcPr>
            <w:tcW w:w="3192" w:type="dxa"/>
          </w:tcPr>
          <w:p w:rsidR="00A563B5" w:rsidRPr="00F52F31" w:rsidRDefault="00A563B5" w:rsidP="00181EC5">
            <w:pPr>
              <w:pStyle w:val="APA"/>
              <w:spacing w:line="240" w:lineRule="auto"/>
              <w:ind w:firstLine="0"/>
              <w:rPr>
                <w:sz w:val="20"/>
              </w:rPr>
            </w:pPr>
            <w:r w:rsidRPr="00F52F31">
              <w:rPr>
                <w:sz w:val="20"/>
              </w:rPr>
              <w:t>There should be 4 – 5 pages with an attached budget of the institution.  Also in the proposal it must convey the “who, what, when, where and how” aspects of a request.</w:t>
            </w:r>
          </w:p>
        </w:tc>
      </w:tr>
    </w:tbl>
    <w:p w:rsidR="00FD5F2B" w:rsidRDefault="00FD5F2B"/>
    <w:p w:rsidR="0086798B" w:rsidRDefault="0086798B" w:rsidP="0086798B">
      <w:pPr>
        <w:jc w:val="center"/>
        <w:rPr>
          <w:rFonts w:ascii="Times New Roman" w:hAnsi="Times New Roman"/>
          <w:color w:val="000000"/>
          <w:sz w:val="24"/>
          <w:szCs w:val="24"/>
        </w:rPr>
      </w:pPr>
      <w:r>
        <w:rPr>
          <w:rFonts w:ascii="Times New Roman" w:hAnsi="Times New Roman"/>
          <w:b/>
          <w:bCs/>
          <w:color w:val="000000"/>
          <w:sz w:val="32"/>
          <w:szCs w:val="32"/>
        </w:rPr>
        <w:t>Grants Chart</w:t>
      </w:r>
    </w:p>
    <w:p w:rsidR="0086798B" w:rsidRDefault="0086798B" w:rsidP="0086798B">
      <w:pPr>
        <w:jc w:val="center"/>
        <w:rPr>
          <w:rFonts w:ascii="Times New Roman" w:hAnsi="Times New Roman"/>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2262"/>
        <w:gridCol w:w="2262"/>
        <w:gridCol w:w="2262"/>
        <w:gridCol w:w="2262"/>
        <w:gridCol w:w="2262"/>
        <w:gridCol w:w="2262"/>
      </w:tblGrid>
      <w:tr w:rsidR="0086798B" w:rsidTr="007C5360">
        <w:tc>
          <w:tcPr>
            <w:tcW w:w="2262" w:type="dxa"/>
            <w:tcBorders>
              <w:top w:val="single" w:sz="1" w:space="0" w:color="000000"/>
              <w:left w:val="single" w:sz="1" w:space="0" w:color="000000"/>
              <w:bottom w:val="single" w:sz="1" w:space="0" w:color="000000"/>
            </w:tcBorders>
            <w:shd w:val="clear" w:color="auto" w:fill="auto"/>
          </w:tcPr>
          <w:p w:rsidR="0086798B" w:rsidRDefault="0086798B" w:rsidP="007C5360">
            <w:pPr>
              <w:pStyle w:val="TableContents"/>
              <w:rPr>
                <w:b/>
                <w:bCs/>
                <w:color w:val="000000"/>
              </w:rPr>
            </w:pPr>
            <w:r>
              <w:rPr>
                <w:b/>
                <w:bCs/>
                <w:color w:val="000000"/>
              </w:rPr>
              <w:t>Name of Grant</w:t>
            </w:r>
          </w:p>
        </w:tc>
        <w:tc>
          <w:tcPr>
            <w:tcW w:w="2262" w:type="dxa"/>
            <w:tcBorders>
              <w:top w:val="single" w:sz="1" w:space="0" w:color="000000"/>
              <w:left w:val="single" w:sz="1" w:space="0" w:color="000000"/>
              <w:bottom w:val="single" w:sz="1" w:space="0" w:color="000000"/>
            </w:tcBorders>
            <w:shd w:val="clear" w:color="auto" w:fill="auto"/>
          </w:tcPr>
          <w:p w:rsidR="0086798B" w:rsidRDefault="0086798B" w:rsidP="007C5360">
            <w:pPr>
              <w:pStyle w:val="TableContents"/>
              <w:rPr>
                <w:b/>
                <w:bCs/>
                <w:color w:val="000000"/>
              </w:rPr>
            </w:pPr>
            <w:r>
              <w:rPr>
                <w:b/>
                <w:bCs/>
                <w:color w:val="000000"/>
              </w:rPr>
              <w:t>Purpose</w:t>
            </w:r>
          </w:p>
        </w:tc>
        <w:tc>
          <w:tcPr>
            <w:tcW w:w="2262" w:type="dxa"/>
            <w:tcBorders>
              <w:top w:val="single" w:sz="1" w:space="0" w:color="000000"/>
              <w:left w:val="single" w:sz="1" w:space="0" w:color="000000"/>
              <w:bottom w:val="single" w:sz="1" w:space="0" w:color="000000"/>
            </w:tcBorders>
            <w:shd w:val="clear" w:color="auto" w:fill="auto"/>
          </w:tcPr>
          <w:p w:rsidR="0086798B" w:rsidRDefault="0086798B" w:rsidP="007C5360">
            <w:pPr>
              <w:pStyle w:val="TableContents"/>
              <w:rPr>
                <w:b/>
                <w:bCs/>
                <w:color w:val="000000"/>
              </w:rPr>
            </w:pPr>
            <w:r>
              <w:rPr>
                <w:b/>
                <w:bCs/>
                <w:color w:val="000000"/>
              </w:rPr>
              <w:t>Funding Source</w:t>
            </w:r>
          </w:p>
        </w:tc>
        <w:tc>
          <w:tcPr>
            <w:tcW w:w="2262" w:type="dxa"/>
            <w:tcBorders>
              <w:top w:val="single" w:sz="1" w:space="0" w:color="000000"/>
              <w:left w:val="single" w:sz="1" w:space="0" w:color="000000"/>
              <w:bottom w:val="single" w:sz="1" w:space="0" w:color="000000"/>
            </w:tcBorders>
            <w:shd w:val="clear" w:color="auto" w:fill="auto"/>
          </w:tcPr>
          <w:p w:rsidR="0086798B" w:rsidRDefault="0086798B" w:rsidP="007C5360">
            <w:pPr>
              <w:pStyle w:val="TableContents"/>
              <w:rPr>
                <w:b/>
                <w:bCs/>
                <w:color w:val="000000"/>
              </w:rPr>
            </w:pPr>
            <w:r>
              <w:rPr>
                <w:b/>
                <w:bCs/>
                <w:color w:val="000000"/>
              </w:rPr>
              <w:t>Eligibility</w:t>
            </w:r>
          </w:p>
        </w:tc>
        <w:tc>
          <w:tcPr>
            <w:tcW w:w="2262" w:type="dxa"/>
            <w:tcBorders>
              <w:top w:val="single" w:sz="1" w:space="0" w:color="000000"/>
              <w:left w:val="single" w:sz="1" w:space="0" w:color="000000"/>
              <w:bottom w:val="single" w:sz="1" w:space="0" w:color="000000"/>
            </w:tcBorders>
            <w:shd w:val="clear" w:color="auto" w:fill="auto"/>
          </w:tcPr>
          <w:p w:rsidR="0086798B" w:rsidRDefault="0086798B" w:rsidP="007C5360">
            <w:pPr>
              <w:pStyle w:val="TableContents"/>
              <w:rPr>
                <w:b/>
                <w:bCs/>
                <w:color w:val="000000"/>
              </w:rPr>
            </w:pPr>
            <w:r>
              <w:rPr>
                <w:b/>
                <w:bCs/>
                <w:color w:val="000000"/>
              </w:rPr>
              <w:t>Basic Components</w:t>
            </w:r>
          </w:p>
        </w:tc>
        <w:tc>
          <w:tcPr>
            <w:tcW w:w="2262" w:type="dxa"/>
            <w:tcBorders>
              <w:top w:val="single" w:sz="1" w:space="0" w:color="000000"/>
              <w:left w:val="single" w:sz="1" w:space="0" w:color="000000"/>
              <w:bottom w:val="single" w:sz="1" w:space="0" w:color="000000"/>
              <w:right w:val="single" w:sz="1" w:space="0" w:color="000000"/>
            </w:tcBorders>
            <w:shd w:val="clear" w:color="auto" w:fill="auto"/>
          </w:tcPr>
          <w:p w:rsidR="0086798B" w:rsidRDefault="0086798B" w:rsidP="007C5360">
            <w:pPr>
              <w:pStyle w:val="TableContents"/>
            </w:pPr>
            <w:r>
              <w:rPr>
                <w:b/>
                <w:bCs/>
                <w:color w:val="000000"/>
              </w:rPr>
              <w:t>Governmental or Private</w:t>
            </w:r>
          </w:p>
        </w:tc>
      </w:tr>
      <w:tr w:rsidR="0086798B" w:rsidTr="007C5360">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color w:val="000000"/>
                <w:sz w:val="22"/>
                <w:szCs w:val="22"/>
              </w:rPr>
              <w:t>Target Field Trip Grant</w:t>
            </w:r>
          </w:p>
        </w:tc>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color w:val="000000"/>
                <w:sz w:val="22"/>
                <w:szCs w:val="22"/>
              </w:rPr>
              <w:t xml:space="preserve">It’s become increasingly difficult for schools to fund learning opportunities outside the classroom. To help them out, we launched Field Trip Grants in 2007. Since then, we’ve made it possible for millions of students to go on a field trip. </w:t>
            </w:r>
          </w:p>
        </w:tc>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color w:val="000000"/>
                <w:sz w:val="22"/>
                <w:szCs w:val="22"/>
              </w:rPr>
              <w:t>Target</w:t>
            </w:r>
          </w:p>
        </w:tc>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color w:val="000000"/>
                <w:sz w:val="22"/>
                <w:szCs w:val="22"/>
              </w:rPr>
              <w:t>To request a charitable contribution, your organization must be a federally tax-exempt, section 501(c</w:t>
            </w:r>
            <w:proofErr w:type="gramStart"/>
            <w:r>
              <w:rPr>
                <w:color w:val="000000"/>
                <w:sz w:val="22"/>
                <w:szCs w:val="22"/>
              </w:rPr>
              <w:t>)(</w:t>
            </w:r>
            <w:proofErr w:type="gramEnd"/>
            <w:r>
              <w:rPr>
                <w:color w:val="000000"/>
                <w:sz w:val="22"/>
                <w:szCs w:val="22"/>
              </w:rPr>
              <w:t xml:space="preserve">3) charitable organization, an accredited school or a public agency. </w:t>
            </w:r>
          </w:p>
        </w:tc>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color w:val="000000"/>
                <w:sz w:val="22"/>
                <w:szCs w:val="22"/>
              </w:rPr>
              <w:t xml:space="preserve">As part of the program, Target stores award Field Trip Grants to K-12 schools nationwide. Each grant is valued up to $700. We accept grant applications between noon CST Aug. 1 and noon CST Sept. 30. </w:t>
            </w:r>
          </w:p>
        </w:tc>
        <w:tc>
          <w:tcPr>
            <w:tcW w:w="2262" w:type="dxa"/>
            <w:tcBorders>
              <w:left w:val="single" w:sz="1" w:space="0" w:color="000000"/>
              <w:bottom w:val="single" w:sz="1" w:space="0" w:color="000000"/>
              <w:right w:val="single" w:sz="1" w:space="0" w:color="000000"/>
            </w:tcBorders>
            <w:shd w:val="clear" w:color="auto" w:fill="auto"/>
          </w:tcPr>
          <w:p w:rsidR="0086798B" w:rsidRDefault="0086798B" w:rsidP="007C5360">
            <w:pPr>
              <w:pStyle w:val="TableContents"/>
            </w:pPr>
            <w:r>
              <w:rPr>
                <w:color w:val="000000"/>
                <w:sz w:val="22"/>
                <w:szCs w:val="22"/>
              </w:rPr>
              <w:t>Private</w:t>
            </w:r>
          </w:p>
        </w:tc>
      </w:tr>
      <w:tr w:rsidR="0086798B" w:rsidTr="007C5360">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color w:val="000000"/>
                <w:sz w:val="22"/>
                <w:szCs w:val="22"/>
              </w:rPr>
              <w:t>Discovery Research K-12 (DRK-12)</w:t>
            </w:r>
          </w:p>
        </w:tc>
        <w:tc>
          <w:tcPr>
            <w:tcW w:w="2262" w:type="dxa"/>
            <w:tcBorders>
              <w:left w:val="single" w:sz="1" w:space="0" w:color="000000"/>
              <w:bottom w:val="single" w:sz="1" w:space="0" w:color="000000"/>
            </w:tcBorders>
            <w:shd w:val="clear" w:color="auto" w:fill="auto"/>
          </w:tcPr>
          <w:p w:rsidR="0086798B" w:rsidRDefault="0086798B" w:rsidP="007C5360">
            <w:pPr>
              <w:pStyle w:val="TableContents"/>
              <w:rPr>
                <w:rStyle w:val="Strong"/>
                <w:color w:val="000000"/>
                <w:sz w:val="22"/>
                <w:szCs w:val="22"/>
              </w:rPr>
            </w:pPr>
            <w:r>
              <w:rPr>
                <w:color w:val="000000"/>
                <w:sz w:val="22"/>
                <w:szCs w:val="22"/>
              </w:rPr>
              <w:t xml:space="preserve">The Discovery Research K-12 program (DRK-12) seeks to significantly enhance the learning and teaching of science, technology, engineering and mathematics (STEM) by preK-12 students and teachers, through research and development of innovative resources, models and tools (RMTs). Projects in the DRK-12 program build on fundamental research in STEM education and prior research and development efforts that provide theoretical and empirical justification for proposed projects. Teachers and students who participate in DRK-12 studies are expected to enhance their understanding and use of STEM content, practices and skills. </w:t>
            </w:r>
          </w:p>
        </w:tc>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rStyle w:val="Strong"/>
                <w:color w:val="000000"/>
                <w:sz w:val="22"/>
                <w:szCs w:val="22"/>
              </w:rPr>
              <w:t>National Science Foundation</w:t>
            </w:r>
            <w:r>
              <w:rPr>
                <w:color w:val="000000"/>
                <w:sz w:val="22"/>
                <w:szCs w:val="22"/>
              </w:rPr>
              <w:t xml:space="preserve"> </w:t>
            </w:r>
          </w:p>
        </w:tc>
        <w:tc>
          <w:tcPr>
            <w:tcW w:w="2262" w:type="dxa"/>
            <w:tcBorders>
              <w:left w:val="single" w:sz="1" w:space="0" w:color="000000"/>
              <w:bottom w:val="single" w:sz="1" w:space="0" w:color="000000"/>
            </w:tcBorders>
            <w:shd w:val="clear" w:color="auto" w:fill="auto"/>
          </w:tcPr>
          <w:p w:rsidR="0086798B" w:rsidRDefault="0086798B" w:rsidP="007C5360">
            <w:pPr>
              <w:pStyle w:val="BodyText"/>
              <w:rPr>
                <w:rFonts w:ascii="Times New Roman" w:hAnsi="Times New Roman"/>
                <w:color w:val="000000"/>
              </w:rPr>
            </w:pPr>
            <w:r>
              <w:rPr>
                <w:rFonts w:ascii="Times New Roman" w:hAnsi="Times New Roman"/>
                <w:color w:val="000000"/>
              </w:rPr>
              <w:t xml:space="preserve">Eligibility to participate in the NSF </w:t>
            </w:r>
            <w:proofErr w:type="spellStart"/>
            <w:r>
              <w:rPr>
                <w:rFonts w:ascii="Times New Roman" w:hAnsi="Times New Roman"/>
                <w:color w:val="000000"/>
              </w:rPr>
              <w:t>EPSCoR</w:t>
            </w:r>
            <w:proofErr w:type="spellEnd"/>
            <w:r>
              <w:rPr>
                <w:rFonts w:ascii="Times New Roman" w:hAnsi="Times New Roman"/>
                <w:color w:val="000000"/>
              </w:rPr>
              <w:t xml:space="preserve"> program is based on the level of NSF research funding. Each year, NSF </w:t>
            </w:r>
            <w:proofErr w:type="spellStart"/>
            <w:r>
              <w:rPr>
                <w:rFonts w:ascii="Times New Roman" w:hAnsi="Times New Roman"/>
                <w:color w:val="000000"/>
              </w:rPr>
              <w:t>EPSCoR</w:t>
            </w:r>
            <w:proofErr w:type="spellEnd"/>
            <w:r>
              <w:rPr>
                <w:rFonts w:ascii="Times New Roman" w:hAnsi="Times New Roman"/>
                <w:color w:val="000000"/>
              </w:rPr>
              <w:t xml:space="preserve"> compiles summary data for the preceding three years of NSF research funding by State. The data are reported by the NSF Office of Budget, Finance and Award Management and listed on the NSF's Budget Internet Information System.</w:t>
            </w:r>
          </w:p>
          <w:p w:rsidR="0086798B" w:rsidRDefault="0086798B" w:rsidP="007C5360">
            <w:pPr>
              <w:pStyle w:val="BodyText"/>
              <w:rPr>
                <w:rFonts w:ascii="Times New Roman" w:hAnsi="Times New Roman"/>
                <w:color w:val="000000"/>
              </w:rPr>
            </w:pPr>
            <w:r>
              <w:rPr>
                <w:rFonts w:ascii="Times New Roman" w:hAnsi="Times New Roman"/>
                <w:color w:val="000000"/>
              </w:rPr>
              <w:t xml:space="preserve">Twenty-eight states, the Commonwealth of Puerto Rico, Guam, and the U.S. Virgin Islands are currently eligible to compete in various NSF </w:t>
            </w:r>
            <w:proofErr w:type="spellStart"/>
            <w:r>
              <w:rPr>
                <w:rFonts w:ascii="Times New Roman" w:hAnsi="Times New Roman"/>
                <w:color w:val="000000"/>
              </w:rPr>
              <w:t>EPSCoR</w:t>
            </w:r>
            <w:proofErr w:type="spellEnd"/>
            <w:r>
              <w:rPr>
                <w:rFonts w:ascii="Times New Roman" w:hAnsi="Times New Roman"/>
                <w:color w:val="000000"/>
              </w:rPr>
              <w:t xml:space="preserve"> program opportunities. (See</w:t>
            </w:r>
            <w:hyperlink r:id="rId5" w:history="1">
              <w:r>
                <w:rPr>
                  <w:rStyle w:val="Hyperlink"/>
                  <w:rFonts w:ascii="Times New Roman" w:hAnsi="Times New Roman"/>
                  <w:color w:val="000000"/>
                </w:rPr>
                <w:t> Investment Strategies</w:t>
              </w:r>
            </w:hyperlink>
            <w:r>
              <w:rPr>
                <w:rFonts w:ascii="Times New Roman" w:hAnsi="Times New Roman"/>
                <w:color w:val="000000"/>
              </w:rPr>
              <w:t> for more information.) The states are: Alabama, Alaska, Arkansas, Delaware, Hawaii, Idaho, Iowa, Kansas, Kentucky, Louisiana, Maine, Mississippi, Missouri, Montana, Nebraska, Nevada, New Hampshire, New Mexico, North Dakota, Oklahoma, Rhode Island, South Carolina, South Dakota, Tennessee, Utah, Vermont, West Virginia, and Wyoming. Data detailing the eligibility of each state, the District of Columbia, Guam, Puerto Rico, and the U.S. Virgin Islands.</w:t>
            </w:r>
          </w:p>
          <w:p w:rsidR="0086798B" w:rsidRDefault="0086798B" w:rsidP="007C5360">
            <w:pPr>
              <w:pStyle w:val="TableContents"/>
              <w:rPr>
                <w:color w:val="000000"/>
                <w:sz w:val="22"/>
                <w:szCs w:val="22"/>
              </w:rPr>
            </w:pPr>
          </w:p>
        </w:tc>
        <w:tc>
          <w:tcPr>
            <w:tcW w:w="2262" w:type="dxa"/>
            <w:tcBorders>
              <w:left w:val="single" w:sz="1" w:space="0" w:color="000000"/>
              <w:bottom w:val="single" w:sz="1" w:space="0" w:color="000000"/>
            </w:tcBorders>
            <w:shd w:val="clear" w:color="auto" w:fill="auto"/>
          </w:tcPr>
          <w:p w:rsidR="0086798B" w:rsidRDefault="0086798B" w:rsidP="007C5360">
            <w:pPr>
              <w:pStyle w:val="TableContents"/>
              <w:rPr>
                <w:color w:val="000000"/>
                <w:sz w:val="22"/>
                <w:szCs w:val="22"/>
              </w:rPr>
            </w:pPr>
            <w:r>
              <w:rPr>
                <w:color w:val="000000"/>
                <w:sz w:val="22"/>
                <w:szCs w:val="22"/>
              </w:rPr>
              <w:t xml:space="preserve">All DRK-12 proposals should be well grounded in the findings of STEM education research; be supported by a well-articulated framework that is based on a specific theory of learning and teaching; be guided by a specific research question, set of questions, or hypothesis; use appropriate and rigorous research and development designs; employ appropriate forms of analysis; and generate useful resources, models, or tools. </w:t>
            </w:r>
          </w:p>
          <w:p w:rsidR="0086798B" w:rsidRDefault="0086798B" w:rsidP="0086798B">
            <w:pPr>
              <w:pStyle w:val="TableContents"/>
              <w:numPr>
                <w:ilvl w:val="0"/>
                <w:numId w:val="6"/>
              </w:numPr>
              <w:rPr>
                <w:color w:val="000000"/>
                <w:sz w:val="22"/>
                <w:szCs w:val="22"/>
              </w:rPr>
            </w:pPr>
            <w:r>
              <w:rPr>
                <w:color w:val="000000"/>
                <w:sz w:val="22"/>
                <w:szCs w:val="22"/>
              </w:rPr>
              <w:t>Assessment Strand</w:t>
            </w:r>
          </w:p>
          <w:p w:rsidR="0086798B" w:rsidRDefault="0086798B" w:rsidP="0086798B">
            <w:pPr>
              <w:pStyle w:val="TableContents"/>
              <w:numPr>
                <w:ilvl w:val="0"/>
                <w:numId w:val="6"/>
              </w:numPr>
              <w:rPr>
                <w:color w:val="000000"/>
                <w:sz w:val="22"/>
                <w:szCs w:val="22"/>
              </w:rPr>
            </w:pPr>
            <w:r>
              <w:rPr>
                <w:color w:val="000000"/>
                <w:sz w:val="22"/>
                <w:szCs w:val="22"/>
              </w:rPr>
              <w:t>Learning Strand</w:t>
            </w:r>
          </w:p>
          <w:p w:rsidR="0086798B" w:rsidRDefault="0086798B" w:rsidP="0086798B">
            <w:pPr>
              <w:pStyle w:val="TableContents"/>
              <w:numPr>
                <w:ilvl w:val="0"/>
                <w:numId w:val="6"/>
              </w:numPr>
              <w:rPr>
                <w:color w:val="000000"/>
                <w:sz w:val="22"/>
                <w:szCs w:val="22"/>
              </w:rPr>
            </w:pPr>
            <w:proofErr w:type="spellStart"/>
            <w:r>
              <w:rPr>
                <w:color w:val="000000"/>
                <w:sz w:val="22"/>
                <w:szCs w:val="22"/>
              </w:rPr>
              <w:t>Taeching</w:t>
            </w:r>
            <w:proofErr w:type="spellEnd"/>
            <w:r>
              <w:rPr>
                <w:color w:val="000000"/>
                <w:sz w:val="22"/>
                <w:szCs w:val="22"/>
              </w:rPr>
              <w:t xml:space="preserve"> Strand</w:t>
            </w:r>
          </w:p>
          <w:p w:rsidR="0086798B" w:rsidRDefault="0086798B" w:rsidP="0086798B">
            <w:pPr>
              <w:pStyle w:val="TableContents"/>
              <w:numPr>
                <w:ilvl w:val="0"/>
                <w:numId w:val="6"/>
              </w:numPr>
              <w:rPr>
                <w:color w:val="000000"/>
                <w:sz w:val="22"/>
                <w:szCs w:val="22"/>
              </w:rPr>
            </w:pPr>
            <w:r>
              <w:rPr>
                <w:color w:val="000000"/>
                <w:sz w:val="22"/>
                <w:szCs w:val="22"/>
              </w:rPr>
              <w:t>Implementation Strand</w:t>
            </w:r>
          </w:p>
          <w:p w:rsidR="0086798B" w:rsidRDefault="0086798B" w:rsidP="0086798B">
            <w:pPr>
              <w:pStyle w:val="TableContents"/>
              <w:numPr>
                <w:ilvl w:val="0"/>
                <w:numId w:val="6"/>
              </w:numPr>
              <w:rPr>
                <w:color w:val="000000"/>
                <w:sz w:val="22"/>
                <w:szCs w:val="22"/>
              </w:rPr>
            </w:pPr>
          </w:p>
        </w:tc>
        <w:tc>
          <w:tcPr>
            <w:tcW w:w="2262" w:type="dxa"/>
            <w:tcBorders>
              <w:left w:val="single" w:sz="1" w:space="0" w:color="000000"/>
              <w:bottom w:val="single" w:sz="1" w:space="0" w:color="000000"/>
              <w:right w:val="single" w:sz="1" w:space="0" w:color="000000"/>
            </w:tcBorders>
            <w:shd w:val="clear" w:color="auto" w:fill="auto"/>
          </w:tcPr>
          <w:p w:rsidR="0086798B" w:rsidRDefault="0086798B" w:rsidP="007C5360">
            <w:pPr>
              <w:pStyle w:val="TableContents"/>
            </w:pPr>
            <w:r>
              <w:rPr>
                <w:color w:val="000000"/>
                <w:sz w:val="22"/>
                <w:szCs w:val="22"/>
              </w:rPr>
              <w:t>Governmental</w:t>
            </w:r>
          </w:p>
        </w:tc>
      </w:tr>
    </w:tbl>
    <w:p w:rsidR="0086798B" w:rsidRDefault="0086798B" w:rsidP="0086798B">
      <w:pPr>
        <w:rPr>
          <w:rFonts w:ascii="Times New Roman" w:hAnsi="Times New Roman"/>
          <w:color w:val="000000"/>
          <w:sz w:val="24"/>
          <w:szCs w:val="24"/>
        </w:rPr>
      </w:pPr>
    </w:p>
    <w:p w:rsidR="0086798B" w:rsidRDefault="0086798B"/>
    <w:sectPr w:rsidR="0086798B" w:rsidSect="00FD5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DC42EAF"/>
    <w:multiLevelType w:val="hybridMultilevel"/>
    <w:tmpl w:val="BBD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A2383"/>
    <w:multiLevelType w:val="hybridMultilevel"/>
    <w:tmpl w:val="A582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B7418"/>
    <w:multiLevelType w:val="hybridMultilevel"/>
    <w:tmpl w:val="545818C2"/>
    <w:lvl w:ilvl="0" w:tplc="D93EB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E465AD"/>
    <w:multiLevelType w:val="hybridMultilevel"/>
    <w:tmpl w:val="B492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069F3"/>
    <w:multiLevelType w:val="hybridMultilevel"/>
    <w:tmpl w:val="D588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ZP_DOC_ID" w:val="2216"/>
  </w:docVars>
  <w:rsids>
    <w:rsidRoot w:val="00A563B5"/>
    <w:rsid w:val="005A4C08"/>
    <w:rsid w:val="007E7202"/>
    <w:rsid w:val="0086798B"/>
    <w:rsid w:val="00921216"/>
    <w:rsid w:val="009407D0"/>
    <w:rsid w:val="00983C95"/>
    <w:rsid w:val="00A12258"/>
    <w:rsid w:val="00A563B5"/>
    <w:rsid w:val="00BF5FFC"/>
    <w:rsid w:val="00C7327B"/>
    <w:rsid w:val="00FD5F2B"/>
    <w:rsid w:val="00FE7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B5"/>
    <w:pPr>
      <w:ind w:left="720"/>
      <w:contextualSpacing/>
    </w:pPr>
  </w:style>
  <w:style w:type="table" w:styleId="ColorfulShading-Accent5">
    <w:name w:val="Colorful Shading Accent 5"/>
    <w:basedOn w:val="TableNormal"/>
    <w:uiPriority w:val="71"/>
    <w:rsid w:val="00A563B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rsid w:val="00A56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
    <w:name w:val="APA"/>
    <w:basedOn w:val="BodyText"/>
    <w:rsid w:val="00A563B5"/>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customStyle="1" w:styleId="APAHeader">
    <w:name w:val="APA Header"/>
    <w:basedOn w:val="APA"/>
    <w:next w:val="APA"/>
    <w:rsid w:val="00A563B5"/>
    <w:pPr>
      <w:ind w:firstLine="0"/>
      <w:jc w:val="center"/>
    </w:pPr>
  </w:style>
  <w:style w:type="paragraph" w:styleId="BodyText">
    <w:name w:val="Body Text"/>
    <w:basedOn w:val="Normal"/>
    <w:link w:val="BodyTextChar"/>
    <w:uiPriority w:val="99"/>
    <w:semiHidden/>
    <w:unhideWhenUsed/>
    <w:rsid w:val="00A563B5"/>
    <w:pPr>
      <w:spacing w:after="120"/>
    </w:pPr>
  </w:style>
  <w:style w:type="character" w:customStyle="1" w:styleId="BodyTextChar">
    <w:name w:val="Body Text Char"/>
    <w:basedOn w:val="DefaultParagraphFont"/>
    <w:link w:val="BodyText"/>
    <w:uiPriority w:val="99"/>
    <w:semiHidden/>
    <w:rsid w:val="00A563B5"/>
  </w:style>
  <w:style w:type="character" w:styleId="Strong">
    <w:name w:val="Strong"/>
    <w:qFormat/>
    <w:rsid w:val="0086798B"/>
    <w:rPr>
      <w:b/>
      <w:bCs/>
    </w:rPr>
  </w:style>
  <w:style w:type="character" w:styleId="Hyperlink">
    <w:name w:val="Hyperlink"/>
    <w:rsid w:val="0086798B"/>
    <w:rPr>
      <w:color w:val="000080"/>
      <w:u w:val="single"/>
      <w:lang/>
    </w:rPr>
  </w:style>
  <w:style w:type="paragraph" w:customStyle="1" w:styleId="TableContents">
    <w:name w:val="Table Contents"/>
    <w:basedOn w:val="Normal"/>
    <w:rsid w:val="008679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f.gov/od/iia/programs/epscor/invest.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6202</Characters>
  <Application>Microsoft Office Word</Application>
  <DocSecurity>4</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2</cp:revision>
  <dcterms:created xsi:type="dcterms:W3CDTF">2013-12-13T14:51:00Z</dcterms:created>
  <dcterms:modified xsi:type="dcterms:W3CDTF">2013-12-13T14:51:00Z</dcterms:modified>
</cp:coreProperties>
</file>