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AE" w:rsidRDefault="00120956">
      <w:pPr>
        <w:rPr>
          <w:rFonts w:ascii="Arial" w:hAnsi="Arial" w:cs="Arial" w:hint="eastAsia"/>
          <w:sz w:val="22"/>
        </w:rPr>
      </w:pPr>
      <w:r>
        <w:rPr>
          <w:rFonts w:ascii="Arial" w:hAnsi="Arial" w:cs="Arial"/>
          <w:sz w:val="22"/>
        </w:rPr>
        <w:t>O</w:t>
      </w:r>
      <w:r>
        <w:rPr>
          <w:rFonts w:ascii="Arial" w:hAnsi="Arial" w:cs="Arial" w:hint="eastAsia"/>
          <w:sz w:val="22"/>
        </w:rPr>
        <w:t>bjectives</w:t>
      </w:r>
    </w:p>
    <w:p w:rsidR="00120956" w:rsidRDefault="00120956">
      <w:pPr>
        <w:rPr>
          <w:rFonts w:ascii="Arial" w:hAnsi="Arial" w:cs="Arial" w:hint="eastAsia"/>
          <w:sz w:val="22"/>
        </w:rPr>
      </w:pPr>
    </w:p>
    <w:p w:rsidR="00120956" w:rsidRDefault="00087F7B">
      <w:pPr>
        <w:rPr>
          <w:rFonts w:ascii="Arial" w:hAnsi="Arial" w:cs="Arial" w:hint="eastAsia"/>
          <w:sz w:val="22"/>
        </w:rPr>
      </w:pPr>
      <w:r>
        <w:rPr>
          <w:rFonts w:ascii="Arial" w:hAnsi="Arial" w:cs="Arial" w:hint="eastAsia"/>
          <w:sz w:val="22"/>
        </w:rPr>
        <w:t xml:space="preserve">It </w:t>
      </w:r>
      <w:r w:rsidR="00120956">
        <w:rPr>
          <w:rFonts w:ascii="Arial" w:hAnsi="Arial" w:cs="Arial" w:hint="eastAsia"/>
          <w:sz w:val="22"/>
        </w:rPr>
        <w:t>encourages</w:t>
      </w:r>
    </w:p>
    <w:p w:rsidR="00120956" w:rsidRDefault="00120956">
      <w:pPr>
        <w:rPr>
          <w:rFonts w:ascii="Arial" w:hAnsi="Arial" w:cs="Arial" w:hint="eastAsia"/>
          <w:sz w:val="22"/>
        </w:rPr>
      </w:pPr>
    </w:p>
    <w:p w:rsidR="00120956" w:rsidRDefault="00120956" w:rsidP="00120956">
      <w:pPr>
        <w:pStyle w:val="a3"/>
        <w:numPr>
          <w:ilvl w:val="0"/>
          <w:numId w:val="1"/>
        </w:numPr>
        <w:ind w:firstLineChars="0"/>
        <w:rPr>
          <w:rFonts w:ascii="Arial" w:hAnsi="Arial" w:cs="Arial" w:hint="eastAsia"/>
          <w:sz w:val="22"/>
        </w:rPr>
      </w:pPr>
      <w:r>
        <w:rPr>
          <w:rFonts w:ascii="Arial" w:hAnsi="Arial" w:cs="Arial"/>
          <w:sz w:val="22"/>
        </w:rPr>
        <w:t>C</w:t>
      </w:r>
      <w:r>
        <w:rPr>
          <w:rFonts w:ascii="Arial" w:hAnsi="Arial" w:cs="Arial" w:hint="eastAsia"/>
          <w:sz w:val="22"/>
        </w:rPr>
        <w:t>ritical reading of peer reviewed academic articles;</w:t>
      </w:r>
    </w:p>
    <w:p w:rsidR="00120956" w:rsidRDefault="00120956" w:rsidP="00120956">
      <w:pPr>
        <w:pStyle w:val="a3"/>
        <w:numPr>
          <w:ilvl w:val="0"/>
          <w:numId w:val="1"/>
        </w:numPr>
        <w:ind w:firstLineChars="0"/>
        <w:rPr>
          <w:rFonts w:ascii="Arial" w:hAnsi="Arial" w:cs="Arial" w:hint="eastAsia"/>
          <w:sz w:val="22"/>
        </w:rPr>
      </w:pPr>
      <w:r>
        <w:rPr>
          <w:rFonts w:ascii="Arial" w:hAnsi="Arial" w:cs="Arial"/>
          <w:sz w:val="22"/>
        </w:rPr>
        <w:t>D</w:t>
      </w:r>
      <w:r>
        <w:rPr>
          <w:rFonts w:ascii="Arial" w:hAnsi="Arial" w:cs="Arial" w:hint="eastAsia"/>
          <w:sz w:val="22"/>
        </w:rPr>
        <w:t>eveloping and demonstrating an understanding of the topic area of merger and acquisition decisions</w:t>
      </w:r>
    </w:p>
    <w:p w:rsidR="00120956" w:rsidRDefault="00120956" w:rsidP="00120956">
      <w:pPr>
        <w:pStyle w:val="a3"/>
        <w:numPr>
          <w:ilvl w:val="0"/>
          <w:numId w:val="1"/>
        </w:numPr>
        <w:ind w:firstLineChars="0"/>
        <w:rPr>
          <w:rFonts w:ascii="Arial" w:hAnsi="Arial" w:cs="Arial" w:hint="eastAsia"/>
          <w:sz w:val="22"/>
        </w:rPr>
      </w:pPr>
      <w:r>
        <w:rPr>
          <w:rFonts w:ascii="Arial" w:hAnsi="Arial" w:cs="Arial"/>
          <w:sz w:val="22"/>
        </w:rPr>
        <w:t>A</w:t>
      </w:r>
      <w:r>
        <w:rPr>
          <w:rFonts w:ascii="Arial" w:hAnsi="Arial" w:cs="Arial" w:hint="eastAsia"/>
          <w:sz w:val="22"/>
        </w:rPr>
        <w:t xml:space="preserve">pplying </w:t>
      </w:r>
      <w:r>
        <w:rPr>
          <w:rFonts w:ascii="Arial" w:hAnsi="Arial" w:cs="Arial"/>
          <w:sz w:val="22"/>
        </w:rPr>
        <w:t>theoretical</w:t>
      </w:r>
      <w:r>
        <w:rPr>
          <w:rFonts w:ascii="Arial" w:hAnsi="Arial" w:cs="Arial" w:hint="eastAsia"/>
          <w:sz w:val="22"/>
        </w:rPr>
        <w:t xml:space="preserve"> understanding to the analysis of such decisions in the context of a real company.</w:t>
      </w:r>
    </w:p>
    <w:p w:rsidR="00120956" w:rsidRDefault="00120956" w:rsidP="00120956">
      <w:pPr>
        <w:rPr>
          <w:rFonts w:ascii="Arial" w:hAnsi="Arial" w:cs="Arial" w:hint="eastAsia"/>
          <w:sz w:val="22"/>
        </w:rPr>
      </w:pPr>
    </w:p>
    <w:p w:rsidR="00120956" w:rsidRDefault="00120956" w:rsidP="00120956">
      <w:pPr>
        <w:rPr>
          <w:rFonts w:ascii="Arial" w:hAnsi="Arial" w:cs="Arial" w:hint="eastAsia"/>
          <w:sz w:val="22"/>
        </w:rPr>
      </w:pPr>
      <w:proofErr w:type="gramStart"/>
      <w:r>
        <w:rPr>
          <w:rFonts w:ascii="Arial" w:hAnsi="Arial" w:cs="Arial" w:hint="eastAsia"/>
          <w:sz w:val="22"/>
        </w:rPr>
        <w:t>question</w:t>
      </w:r>
      <w:proofErr w:type="gramEnd"/>
    </w:p>
    <w:p w:rsidR="00120956" w:rsidRDefault="00120956" w:rsidP="00120956">
      <w:pPr>
        <w:rPr>
          <w:rFonts w:ascii="Arial" w:hAnsi="Arial" w:cs="Arial" w:hint="eastAsia"/>
          <w:sz w:val="22"/>
        </w:rPr>
      </w:pPr>
    </w:p>
    <w:p w:rsidR="00120956" w:rsidRDefault="00120956" w:rsidP="00120956">
      <w:pPr>
        <w:rPr>
          <w:rFonts w:ascii="Arial" w:hAnsi="Arial" w:cs="Arial" w:hint="eastAsia"/>
          <w:sz w:val="22"/>
        </w:rPr>
      </w:pP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 xml:space="preserve">n orthodox finance theory it is accepted that managers should </w:t>
      </w:r>
      <w:r>
        <w:rPr>
          <w:rFonts w:ascii="Arial" w:hAnsi="Arial" w:cs="Arial"/>
          <w:sz w:val="22"/>
        </w:rPr>
        <w:t>maximize</w:t>
      </w:r>
      <w:r>
        <w:rPr>
          <w:rFonts w:ascii="Arial" w:hAnsi="Arial" w:cs="Arial" w:hint="eastAsia"/>
          <w:sz w:val="22"/>
        </w:rPr>
        <w:t xml:space="preserve"> shareholders</w:t>
      </w:r>
      <w:r>
        <w:rPr>
          <w:rFonts w:ascii="Arial" w:hAnsi="Arial" w:cs="Arial"/>
          <w:sz w:val="22"/>
        </w:rPr>
        <w:t>’</w:t>
      </w:r>
      <w:r>
        <w:rPr>
          <w:rFonts w:ascii="Arial" w:hAnsi="Arial" w:cs="Arial" w:hint="eastAsia"/>
          <w:sz w:val="22"/>
        </w:rPr>
        <w:t xml:space="preserve"> wealth. 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 w:hint="eastAsia"/>
          <w:sz w:val="22"/>
        </w:rPr>
        <w:t>esearch indicates that many mergers and acquisitions do not achieve an increase in the shareholders</w:t>
      </w:r>
      <w:r>
        <w:rPr>
          <w:rFonts w:ascii="Arial" w:hAnsi="Arial" w:cs="Arial"/>
          <w:sz w:val="22"/>
        </w:rPr>
        <w:t>’</w:t>
      </w:r>
      <w:r>
        <w:rPr>
          <w:rFonts w:ascii="Arial" w:hAnsi="Arial" w:cs="Arial" w:hint="eastAsia"/>
          <w:sz w:val="22"/>
        </w:rPr>
        <w:t xml:space="preserve"> wealth in acquiring company (Conn et al., 2005)</w:t>
      </w:r>
    </w:p>
    <w:p w:rsidR="00120956" w:rsidRDefault="00120956" w:rsidP="00120956">
      <w:pPr>
        <w:rPr>
          <w:rFonts w:ascii="Arial" w:hAnsi="Arial" w:cs="Arial" w:hint="eastAsia"/>
          <w:sz w:val="22"/>
        </w:rPr>
      </w:pPr>
    </w:p>
    <w:p w:rsidR="00120956" w:rsidRDefault="00120956" w:rsidP="00120956">
      <w:pPr>
        <w:rPr>
          <w:rFonts w:ascii="Arial" w:hAnsi="Arial" w:cs="Arial" w:hint="eastAsia"/>
          <w:sz w:val="22"/>
        </w:rPr>
      </w:pPr>
      <w:r>
        <w:rPr>
          <w:rFonts w:ascii="Arial" w:hAnsi="Arial" w:cs="Arial" w:hint="eastAsia"/>
          <w:sz w:val="22"/>
        </w:rPr>
        <w:t xml:space="preserve">Paradoxically, many companies still undertake what appears to be risky strategy for growth.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>n 2012, pharmaceutical companies engaged in a spate of acquisition activity, with</w:t>
      </w:r>
      <w:r w:rsidR="00BF4CE4">
        <w:rPr>
          <w:rFonts w:ascii="Arial" w:hAnsi="Arial" w:cs="Arial" w:hint="eastAsia"/>
          <w:sz w:val="22"/>
        </w:rPr>
        <w:t xml:space="preserve"> April 2012 seeing $33bn worth of deals alone (</w:t>
      </w:r>
      <w:proofErr w:type="spellStart"/>
      <w:r w:rsidR="00BF4CE4">
        <w:rPr>
          <w:rFonts w:ascii="Arial" w:hAnsi="Arial" w:cs="Arial" w:hint="eastAsia"/>
          <w:sz w:val="22"/>
        </w:rPr>
        <w:t>Gelles</w:t>
      </w:r>
      <w:proofErr w:type="spellEnd"/>
      <w:r w:rsidR="00BF4CE4">
        <w:rPr>
          <w:rFonts w:ascii="Arial" w:hAnsi="Arial" w:cs="Arial" w:hint="eastAsia"/>
          <w:sz w:val="22"/>
        </w:rPr>
        <w:t xml:space="preserve"> and Jack, 2012). Significant deals in this period were </w:t>
      </w:r>
      <w:proofErr w:type="spellStart"/>
      <w:r w:rsidR="00BF4CE4">
        <w:rPr>
          <w:rFonts w:ascii="Arial" w:hAnsi="Arial" w:cs="Arial" w:hint="eastAsia"/>
          <w:sz w:val="22"/>
        </w:rPr>
        <w:t>GlaxoSmithklein</w:t>
      </w:r>
      <w:r w:rsidR="00BF4CE4">
        <w:rPr>
          <w:rFonts w:ascii="Arial" w:hAnsi="Arial" w:cs="Arial"/>
          <w:sz w:val="22"/>
        </w:rPr>
        <w:t>’</w:t>
      </w:r>
      <w:r w:rsidR="00BF4CE4">
        <w:rPr>
          <w:rFonts w:ascii="Arial" w:hAnsi="Arial" w:cs="Arial" w:hint="eastAsia"/>
          <w:sz w:val="22"/>
        </w:rPr>
        <w:t>s</w:t>
      </w:r>
      <w:proofErr w:type="spellEnd"/>
      <w:r w:rsidR="00BF4CE4">
        <w:rPr>
          <w:rFonts w:ascii="Arial" w:hAnsi="Arial" w:cs="Arial" w:hint="eastAsia"/>
          <w:sz w:val="22"/>
        </w:rPr>
        <w:t xml:space="preserve"> acquisition of Human Genome Science and </w:t>
      </w:r>
      <w:proofErr w:type="spellStart"/>
      <w:r w:rsidR="00BF4CE4">
        <w:rPr>
          <w:rFonts w:ascii="Arial" w:hAnsi="Arial" w:cs="Arial" w:hint="eastAsia"/>
          <w:sz w:val="22"/>
        </w:rPr>
        <w:t>Astrazeneca</w:t>
      </w:r>
      <w:r w:rsidR="00BF4CE4">
        <w:rPr>
          <w:rFonts w:ascii="Arial" w:hAnsi="Arial" w:cs="Arial"/>
          <w:sz w:val="22"/>
        </w:rPr>
        <w:t>’</w:t>
      </w:r>
      <w:r w:rsidR="00BF4CE4">
        <w:rPr>
          <w:rFonts w:ascii="Arial" w:hAnsi="Arial" w:cs="Arial" w:hint="eastAsia"/>
          <w:sz w:val="22"/>
        </w:rPr>
        <w:t>s</w:t>
      </w:r>
      <w:proofErr w:type="spellEnd"/>
      <w:r w:rsidR="00BF4CE4">
        <w:rPr>
          <w:rFonts w:ascii="Arial" w:hAnsi="Arial" w:cs="Arial" w:hint="eastAsia"/>
          <w:sz w:val="22"/>
        </w:rPr>
        <w:t xml:space="preserve"> acquisition of </w:t>
      </w:r>
      <w:proofErr w:type="spellStart"/>
      <w:r w:rsidR="00BF4CE4">
        <w:rPr>
          <w:rFonts w:ascii="Arial" w:hAnsi="Arial" w:cs="Arial" w:hint="eastAsia"/>
          <w:sz w:val="22"/>
        </w:rPr>
        <w:t>Ardea</w:t>
      </w:r>
      <w:proofErr w:type="spellEnd"/>
      <w:r w:rsidR="00BF4CE4">
        <w:rPr>
          <w:rFonts w:ascii="Arial" w:hAnsi="Arial" w:cs="Arial" w:hint="eastAsia"/>
          <w:sz w:val="22"/>
        </w:rPr>
        <w:t>.</w:t>
      </w:r>
    </w:p>
    <w:p w:rsidR="00BF4CE4" w:rsidRDefault="00BF4CE4" w:rsidP="00120956">
      <w:pPr>
        <w:rPr>
          <w:rFonts w:ascii="Arial" w:hAnsi="Arial" w:cs="Arial" w:hint="eastAsia"/>
          <w:sz w:val="22"/>
        </w:rPr>
      </w:pPr>
    </w:p>
    <w:p w:rsidR="000746DA" w:rsidRDefault="000746DA" w:rsidP="00120956">
      <w:pPr>
        <w:rPr>
          <w:rFonts w:ascii="Arial" w:hAnsi="Arial" w:cs="Arial" w:hint="eastAsia"/>
          <w:sz w:val="22"/>
        </w:rPr>
      </w:pPr>
    </w:p>
    <w:p w:rsidR="000746DA" w:rsidRDefault="000746DA" w:rsidP="00120956">
      <w:pPr>
        <w:rPr>
          <w:rFonts w:ascii="Arial" w:hAnsi="Arial" w:cs="Arial" w:hint="eastAsia"/>
          <w:sz w:val="22"/>
        </w:rPr>
      </w:pPr>
    </w:p>
    <w:p w:rsidR="000746DA" w:rsidRDefault="000746DA" w:rsidP="00120956">
      <w:pPr>
        <w:rPr>
          <w:rFonts w:ascii="Arial" w:hAnsi="Arial" w:cs="Arial" w:hint="eastAsia"/>
          <w:sz w:val="22"/>
        </w:rPr>
      </w:pPr>
    </w:p>
    <w:p w:rsidR="000746DA" w:rsidRDefault="000746DA" w:rsidP="00120956">
      <w:pPr>
        <w:rPr>
          <w:rFonts w:ascii="Arial" w:hAnsi="Arial" w:cs="Arial" w:hint="eastAsia"/>
          <w:sz w:val="22"/>
        </w:rPr>
      </w:pPr>
    </w:p>
    <w:p w:rsidR="000746DA" w:rsidRDefault="000746DA" w:rsidP="00120956">
      <w:pPr>
        <w:rPr>
          <w:rFonts w:ascii="Arial" w:hAnsi="Arial" w:cs="Arial" w:hint="eastAsia"/>
          <w:sz w:val="22"/>
        </w:rPr>
      </w:pPr>
    </w:p>
    <w:p w:rsidR="000746DA" w:rsidRDefault="000746DA" w:rsidP="00120956">
      <w:pPr>
        <w:rPr>
          <w:rFonts w:ascii="Arial" w:hAnsi="Arial" w:cs="Arial" w:hint="eastAsia"/>
          <w:sz w:val="22"/>
        </w:rPr>
      </w:pPr>
    </w:p>
    <w:p w:rsidR="000746DA" w:rsidRDefault="000746DA" w:rsidP="00120956">
      <w:pPr>
        <w:rPr>
          <w:rFonts w:ascii="Arial" w:hAnsi="Arial" w:cs="Arial" w:hint="eastAsia"/>
          <w:sz w:val="22"/>
        </w:rPr>
      </w:pPr>
    </w:p>
    <w:p w:rsidR="000746DA" w:rsidRDefault="000746DA" w:rsidP="00120956">
      <w:pPr>
        <w:rPr>
          <w:rFonts w:ascii="Arial" w:hAnsi="Arial" w:cs="Arial" w:hint="eastAsia"/>
          <w:sz w:val="22"/>
        </w:rPr>
      </w:pPr>
    </w:p>
    <w:p w:rsidR="000746DA" w:rsidRDefault="000746DA" w:rsidP="00120956">
      <w:pPr>
        <w:rPr>
          <w:rFonts w:ascii="Arial" w:hAnsi="Arial" w:cs="Arial" w:hint="eastAsia"/>
          <w:sz w:val="22"/>
        </w:rPr>
      </w:pPr>
    </w:p>
    <w:p w:rsidR="000746DA" w:rsidRDefault="000746DA" w:rsidP="00120956">
      <w:pPr>
        <w:rPr>
          <w:rFonts w:ascii="Arial" w:hAnsi="Arial" w:cs="Arial" w:hint="eastAsia"/>
          <w:sz w:val="22"/>
        </w:rPr>
      </w:pPr>
    </w:p>
    <w:p w:rsidR="000746DA" w:rsidRDefault="000746DA" w:rsidP="00120956">
      <w:pPr>
        <w:rPr>
          <w:rFonts w:ascii="Arial" w:hAnsi="Arial" w:cs="Arial" w:hint="eastAsia"/>
          <w:sz w:val="22"/>
        </w:rPr>
      </w:pPr>
    </w:p>
    <w:p w:rsidR="000746DA" w:rsidRDefault="000746DA" w:rsidP="00120956">
      <w:pPr>
        <w:rPr>
          <w:rFonts w:ascii="Arial" w:hAnsi="Arial" w:cs="Arial" w:hint="eastAsia"/>
          <w:sz w:val="22"/>
        </w:rPr>
      </w:pPr>
    </w:p>
    <w:p w:rsidR="000746DA" w:rsidRDefault="000746DA" w:rsidP="00120956">
      <w:pPr>
        <w:rPr>
          <w:rFonts w:ascii="Arial" w:hAnsi="Arial" w:cs="Arial" w:hint="eastAsia"/>
          <w:sz w:val="22"/>
        </w:rPr>
      </w:pPr>
    </w:p>
    <w:p w:rsidR="000746DA" w:rsidRDefault="000746DA" w:rsidP="00120956">
      <w:pPr>
        <w:rPr>
          <w:rFonts w:ascii="Arial" w:hAnsi="Arial" w:cs="Arial" w:hint="eastAsia"/>
          <w:sz w:val="22"/>
        </w:rPr>
      </w:pPr>
    </w:p>
    <w:p w:rsidR="000746DA" w:rsidRDefault="000746DA" w:rsidP="00120956">
      <w:pPr>
        <w:rPr>
          <w:rFonts w:ascii="Arial" w:hAnsi="Arial" w:cs="Arial" w:hint="eastAsia"/>
          <w:sz w:val="22"/>
        </w:rPr>
      </w:pPr>
    </w:p>
    <w:p w:rsidR="00087F7B" w:rsidRDefault="00087F7B" w:rsidP="00120956">
      <w:pPr>
        <w:rPr>
          <w:rFonts w:ascii="Arial" w:hAnsi="Arial" w:cs="Arial" w:hint="eastAsia"/>
          <w:sz w:val="22"/>
        </w:rPr>
      </w:pPr>
    </w:p>
    <w:p w:rsidR="00087F7B" w:rsidRDefault="00087F7B" w:rsidP="00120956">
      <w:pPr>
        <w:rPr>
          <w:rFonts w:ascii="Arial" w:hAnsi="Arial" w:cs="Arial" w:hint="eastAsia"/>
          <w:sz w:val="22"/>
        </w:rPr>
      </w:pPr>
    </w:p>
    <w:p w:rsidR="000746DA" w:rsidRDefault="000746DA" w:rsidP="00120956">
      <w:pPr>
        <w:rPr>
          <w:rFonts w:ascii="Arial" w:hAnsi="Arial" w:cs="Arial" w:hint="eastAsia"/>
          <w:sz w:val="22"/>
        </w:rPr>
      </w:pPr>
    </w:p>
    <w:p w:rsidR="000746DA" w:rsidRDefault="000746DA" w:rsidP="00120956">
      <w:pPr>
        <w:rPr>
          <w:rFonts w:ascii="Arial" w:hAnsi="Arial" w:cs="Arial" w:hint="eastAsia"/>
          <w:sz w:val="22"/>
        </w:rPr>
      </w:pPr>
    </w:p>
    <w:p w:rsidR="000746DA" w:rsidRDefault="000746DA" w:rsidP="00120956">
      <w:pPr>
        <w:rPr>
          <w:rFonts w:ascii="Arial" w:hAnsi="Arial" w:cs="Arial" w:hint="eastAsia"/>
          <w:sz w:val="22"/>
        </w:rPr>
      </w:pPr>
    </w:p>
    <w:p w:rsidR="000746DA" w:rsidRDefault="000746DA" w:rsidP="00120956">
      <w:pPr>
        <w:rPr>
          <w:rFonts w:ascii="Arial" w:hAnsi="Arial" w:cs="Arial" w:hint="eastAsia"/>
          <w:sz w:val="22"/>
        </w:rPr>
      </w:pPr>
    </w:p>
    <w:p w:rsidR="00BF4CE4" w:rsidRDefault="00BF4CE4" w:rsidP="00120956">
      <w:pPr>
        <w:rPr>
          <w:rFonts w:ascii="Arial" w:hAnsi="Arial" w:cs="Arial" w:hint="eastAsia"/>
          <w:sz w:val="22"/>
        </w:rPr>
      </w:pPr>
      <w:r>
        <w:rPr>
          <w:rFonts w:ascii="Arial" w:hAnsi="Arial" w:cs="Arial" w:hint="eastAsia"/>
          <w:sz w:val="22"/>
        </w:rPr>
        <w:lastRenderedPageBreak/>
        <w:t>Required:</w:t>
      </w:r>
    </w:p>
    <w:p w:rsidR="00BF4CE4" w:rsidRDefault="00BF4CE4" w:rsidP="00BF4CE4">
      <w:pPr>
        <w:pStyle w:val="a3"/>
        <w:numPr>
          <w:ilvl w:val="0"/>
          <w:numId w:val="2"/>
        </w:numPr>
        <w:ind w:firstLineChars="0"/>
        <w:rPr>
          <w:rFonts w:ascii="Arial" w:hAnsi="Arial" w:cs="Arial" w:hint="eastAsia"/>
          <w:sz w:val="22"/>
        </w:rPr>
      </w:pPr>
      <w:r>
        <w:rPr>
          <w:rFonts w:ascii="Arial" w:hAnsi="Arial" w:cs="Arial"/>
          <w:sz w:val="22"/>
        </w:rPr>
        <w:t>P</w:t>
      </w:r>
      <w:r>
        <w:rPr>
          <w:rFonts w:ascii="Arial" w:hAnsi="Arial" w:cs="Arial" w:hint="eastAsia"/>
          <w:sz w:val="22"/>
        </w:rPr>
        <w:t>repare a critical literature review of the factors which are seen to be influential in the success or failure of corporate acquisitions.</w:t>
      </w:r>
    </w:p>
    <w:p w:rsidR="00BF4CE4" w:rsidRDefault="00BF4CE4" w:rsidP="00BF4CE4">
      <w:pPr>
        <w:pStyle w:val="a3"/>
        <w:numPr>
          <w:ilvl w:val="0"/>
          <w:numId w:val="2"/>
        </w:numPr>
        <w:ind w:firstLineChars="0"/>
        <w:rPr>
          <w:rFonts w:ascii="Arial" w:hAnsi="Arial" w:cs="Arial" w:hint="eastAsia"/>
          <w:sz w:val="22"/>
        </w:rPr>
      </w:pPr>
      <w:r>
        <w:rPr>
          <w:rFonts w:ascii="Arial" w:hAnsi="Arial" w:cs="Arial"/>
          <w:sz w:val="22"/>
        </w:rPr>
        <w:t>W</w:t>
      </w:r>
      <w:r>
        <w:rPr>
          <w:rFonts w:ascii="Arial" w:hAnsi="Arial" w:cs="Arial" w:hint="eastAsia"/>
          <w:sz w:val="22"/>
        </w:rPr>
        <w:t>ith respect to pharmaceutical companies, identify why acquisition is important as a means of growing and developing as a business.</w:t>
      </w:r>
    </w:p>
    <w:p w:rsidR="00BF4CE4" w:rsidRDefault="00BF4CE4" w:rsidP="00BF4CE4">
      <w:pPr>
        <w:pStyle w:val="a3"/>
        <w:numPr>
          <w:ilvl w:val="0"/>
          <w:numId w:val="2"/>
        </w:numPr>
        <w:ind w:firstLineChars="0"/>
        <w:rPr>
          <w:rFonts w:ascii="Arial" w:hAnsi="Arial" w:cs="Arial" w:hint="eastAsia"/>
          <w:sz w:val="22"/>
        </w:rPr>
      </w:pPr>
      <w:r>
        <w:rPr>
          <w:rFonts w:ascii="Arial" w:hAnsi="Arial" w:cs="Arial"/>
          <w:sz w:val="22"/>
        </w:rPr>
        <w:t>D</w:t>
      </w:r>
      <w:r>
        <w:rPr>
          <w:rFonts w:ascii="Arial" w:hAnsi="Arial" w:cs="Arial" w:hint="eastAsia"/>
          <w:sz w:val="22"/>
        </w:rPr>
        <w:t xml:space="preserve">iscuss how a researcher might identify whether the </w:t>
      </w:r>
      <w:proofErr w:type="spellStart"/>
      <w:r>
        <w:rPr>
          <w:rFonts w:ascii="Arial" w:hAnsi="Arial" w:cs="Arial" w:hint="eastAsia"/>
          <w:sz w:val="22"/>
        </w:rPr>
        <w:t>GlaxoSmithklein</w:t>
      </w:r>
      <w:proofErr w:type="spellEnd"/>
      <w:r>
        <w:rPr>
          <w:rFonts w:ascii="Arial" w:hAnsi="Arial" w:cs="Arial" w:hint="eastAsia"/>
          <w:sz w:val="22"/>
        </w:rPr>
        <w:t xml:space="preserve"> and </w:t>
      </w:r>
      <w:proofErr w:type="spellStart"/>
      <w:r>
        <w:rPr>
          <w:rFonts w:ascii="Arial" w:hAnsi="Arial" w:cs="Arial" w:hint="eastAsia"/>
          <w:sz w:val="22"/>
        </w:rPr>
        <w:t>Astrazenca</w:t>
      </w:r>
      <w:proofErr w:type="spellEnd"/>
      <w:r>
        <w:rPr>
          <w:rFonts w:ascii="Arial" w:hAnsi="Arial" w:cs="Arial" w:hint="eastAsia"/>
          <w:sz w:val="22"/>
        </w:rPr>
        <w:t xml:space="preserve"> acquisitions eventually prove to be successful in increasing </w:t>
      </w:r>
      <w:r>
        <w:rPr>
          <w:rFonts w:ascii="Arial" w:hAnsi="Arial" w:cs="Arial"/>
          <w:sz w:val="22"/>
        </w:rPr>
        <w:t>their</w:t>
      </w:r>
      <w:r>
        <w:rPr>
          <w:rFonts w:ascii="Arial" w:hAnsi="Arial" w:cs="Arial" w:hint="eastAsia"/>
          <w:sz w:val="22"/>
        </w:rPr>
        <w:t xml:space="preserve"> shareholder</w:t>
      </w:r>
      <w:r>
        <w:rPr>
          <w:rFonts w:ascii="Arial" w:hAnsi="Arial" w:cs="Arial"/>
          <w:sz w:val="22"/>
        </w:rPr>
        <w:t>s’</w:t>
      </w:r>
      <w:r>
        <w:rPr>
          <w:rFonts w:ascii="Arial" w:hAnsi="Arial" w:cs="Arial" w:hint="eastAsia"/>
          <w:sz w:val="22"/>
        </w:rPr>
        <w:t xml:space="preserve"> wealth.</w:t>
      </w:r>
    </w:p>
    <w:tbl>
      <w:tblPr>
        <w:tblStyle w:val="a4"/>
        <w:tblW w:w="0" w:type="auto"/>
        <w:tblInd w:w="534" w:type="dxa"/>
        <w:tblLook w:val="04A0"/>
      </w:tblPr>
      <w:tblGrid>
        <w:gridCol w:w="3727"/>
        <w:gridCol w:w="4261"/>
      </w:tblGrid>
      <w:tr w:rsidR="004B139A" w:rsidTr="004B139A">
        <w:tc>
          <w:tcPr>
            <w:tcW w:w="3727" w:type="dxa"/>
          </w:tcPr>
          <w:p w:rsidR="004B139A" w:rsidRDefault="004B139A" w:rsidP="004B139A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 w:hint="eastAsia"/>
                <w:sz w:val="22"/>
              </w:rPr>
              <w:t xml:space="preserve">iscussion of corporate strategy to </w:t>
            </w:r>
            <w:r>
              <w:rPr>
                <w:rFonts w:ascii="Arial" w:hAnsi="Arial" w:cs="Arial"/>
                <w:sz w:val="22"/>
              </w:rPr>
              <w:t>maximize</w:t>
            </w:r>
            <w:r>
              <w:rPr>
                <w:rFonts w:ascii="Arial" w:hAnsi="Arial" w:cs="Arial" w:hint="eastAsia"/>
                <w:sz w:val="22"/>
              </w:rPr>
              <w:t xml:space="preserve"> shareholder wealth</w:t>
            </w:r>
          </w:p>
        </w:tc>
        <w:tc>
          <w:tcPr>
            <w:tcW w:w="4261" w:type="dxa"/>
          </w:tcPr>
          <w:p w:rsidR="004B139A" w:rsidRDefault="004B139A" w:rsidP="004B139A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 w:hint="eastAsia"/>
                <w:sz w:val="22"/>
              </w:rPr>
              <w:t xml:space="preserve">erger and acquisition activity is </w:t>
            </w:r>
            <w:r>
              <w:rPr>
                <w:rFonts w:ascii="Arial" w:hAnsi="Arial" w:cs="Arial"/>
                <w:sz w:val="22"/>
              </w:rPr>
              <w:t>analyzed</w:t>
            </w:r>
            <w:r>
              <w:rPr>
                <w:rFonts w:ascii="Arial" w:hAnsi="Arial" w:cs="Arial" w:hint="eastAsia"/>
                <w:sz w:val="22"/>
              </w:rPr>
              <w:t xml:space="preserve"> as part of company strategy to deliver shareholder value using features of specific companies and their </w:t>
            </w:r>
            <w:r w:rsidR="000746DA">
              <w:rPr>
                <w:rFonts w:ascii="Arial" w:hAnsi="Arial" w:cs="Arial" w:hint="eastAsia"/>
                <w:sz w:val="22"/>
              </w:rPr>
              <w:t>acquisitions.</w:t>
            </w:r>
          </w:p>
          <w:p w:rsidR="000746DA" w:rsidRDefault="000746DA" w:rsidP="004B139A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 w:hint="eastAsia"/>
                <w:sz w:val="22"/>
              </w:rPr>
              <w:t xml:space="preserve">he understanding gained from the literature </w:t>
            </w:r>
            <w:r>
              <w:rPr>
                <w:rFonts w:ascii="Arial" w:hAnsi="Arial" w:cs="Arial"/>
                <w:sz w:val="22"/>
              </w:rPr>
              <w:t>review</w:t>
            </w:r>
            <w:r>
              <w:rPr>
                <w:rFonts w:ascii="Arial" w:hAnsi="Arial" w:cs="Arial" w:hint="eastAsia"/>
                <w:sz w:val="22"/>
              </w:rPr>
              <w:t xml:space="preserve"> is applied to the case study companies</w:t>
            </w:r>
          </w:p>
          <w:p w:rsidR="000746DA" w:rsidRPr="004B139A" w:rsidRDefault="000746DA" w:rsidP="004B139A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Arial" w:hAnsi="Arial" w:cs="Arial" w:hint="eastAsia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 w:hint="eastAsia"/>
                <w:sz w:val="22"/>
              </w:rPr>
              <w:t>onclusion are</w:t>
            </w:r>
            <w:proofErr w:type="gramEnd"/>
            <w:r>
              <w:rPr>
                <w:rFonts w:ascii="Arial" w:hAnsi="Arial" w:cs="Arial" w:hint="eastAsia"/>
                <w:sz w:val="22"/>
              </w:rPr>
              <w:t xml:space="preserve"> made as appropriate from the available evidence, including recognition of limitations of the evidence and method.</w:t>
            </w:r>
          </w:p>
        </w:tc>
      </w:tr>
      <w:tr w:rsidR="004B139A" w:rsidTr="004B139A">
        <w:tc>
          <w:tcPr>
            <w:tcW w:w="3727" w:type="dxa"/>
          </w:tcPr>
          <w:p w:rsidR="004B139A" w:rsidRPr="000746DA" w:rsidRDefault="000746DA" w:rsidP="004B139A">
            <w:pPr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 w:hint="eastAsia"/>
                <w:sz w:val="22"/>
              </w:rPr>
              <w:t>iscussion of identifying success in acquisitions</w:t>
            </w:r>
          </w:p>
        </w:tc>
        <w:tc>
          <w:tcPr>
            <w:tcW w:w="4261" w:type="dxa"/>
          </w:tcPr>
          <w:p w:rsidR="004B139A" w:rsidRPr="000746DA" w:rsidRDefault="000746DA" w:rsidP="000746DA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 w:hint="eastAsia"/>
                <w:sz w:val="22"/>
              </w:rPr>
              <w:t xml:space="preserve"> critical understanding of research method derived from the literature review is demonstrated in the context of the case study companies.</w:t>
            </w:r>
          </w:p>
        </w:tc>
      </w:tr>
    </w:tbl>
    <w:p w:rsidR="004B139A" w:rsidRDefault="004B139A" w:rsidP="004B139A">
      <w:pPr>
        <w:rPr>
          <w:rFonts w:ascii="Arial" w:hAnsi="Arial" w:cs="Arial" w:hint="eastAsia"/>
          <w:sz w:val="22"/>
        </w:rPr>
      </w:pPr>
    </w:p>
    <w:p w:rsidR="004B139A" w:rsidRDefault="004B139A" w:rsidP="004B139A">
      <w:pPr>
        <w:rPr>
          <w:rFonts w:ascii="Arial" w:hAnsi="Arial" w:cs="Arial" w:hint="eastAsia"/>
          <w:sz w:val="22"/>
        </w:rPr>
      </w:pPr>
    </w:p>
    <w:p w:rsidR="004B139A" w:rsidRDefault="004B139A" w:rsidP="004B139A">
      <w:pPr>
        <w:rPr>
          <w:rFonts w:ascii="Arial" w:hAnsi="Arial" w:cs="Arial" w:hint="eastAsia"/>
          <w:sz w:val="22"/>
        </w:rPr>
      </w:pPr>
      <w:r>
        <w:rPr>
          <w:rFonts w:ascii="Arial" w:hAnsi="Arial" w:cs="Arial" w:hint="eastAsia"/>
          <w:sz w:val="22"/>
        </w:rPr>
        <w:t>2000 words</w:t>
      </w:r>
    </w:p>
    <w:p w:rsidR="004B139A" w:rsidRPr="004B139A" w:rsidRDefault="004B139A" w:rsidP="004B139A">
      <w:pPr>
        <w:rPr>
          <w:rFonts w:ascii="Arial" w:hAnsi="Arial" w:cs="Arial"/>
          <w:sz w:val="22"/>
        </w:rPr>
      </w:pPr>
    </w:p>
    <w:sectPr w:rsidR="004B139A" w:rsidRPr="004B139A" w:rsidSect="00751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069"/>
    <w:multiLevelType w:val="hybridMultilevel"/>
    <w:tmpl w:val="F08CE3D4"/>
    <w:lvl w:ilvl="0" w:tplc="A516B0D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94327E"/>
    <w:multiLevelType w:val="hybridMultilevel"/>
    <w:tmpl w:val="9DC87474"/>
    <w:lvl w:ilvl="0" w:tplc="A516B0D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2970B2"/>
    <w:multiLevelType w:val="hybridMultilevel"/>
    <w:tmpl w:val="7256C774"/>
    <w:lvl w:ilvl="0" w:tplc="A516B0D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A7D5B65"/>
    <w:multiLevelType w:val="hybridMultilevel"/>
    <w:tmpl w:val="EA1604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956"/>
    <w:rsid w:val="000746DA"/>
    <w:rsid w:val="00087F7B"/>
    <w:rsid w:val="00120956"/>
    <w:rsid w:val="004B139A"/>
    <w:rsid w:val="007518AE"/>
    <w:rsid w:val="00B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56"/>
    <w:pPr>
      <w:ind w:firstLineChars="200" w:firstLine="420"/>
    </w:pPr>
  </w:style>
  <w:style w:type="table" w:styleId="a4">
    <w:name w:val="Table Grid"/>
    <w:basedOn w:val="a1"/>
    <w:uiPriority w:val="59"/>
    <w:rsid w:val="004B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2013-11-07T20:25:00Z</dcterms:created>
  <dcterms:modified xsi:type="dcterms:W3CDTF">2013-11-07T23:11:00Z</dcterms:modified>
</cp:coreProperties>
</file>