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FA" w:rsidRDefault="00295C7C">
      <w:r>
        <w:t>Because of the volatility of stock market values, evaluations of firm performance for the purposes of assessing the current strategy or evaluating management effectiveness tend to use accounting of performance.  These are inevitably historical: financial reports appear at least three weeks after the period to which they relate.  That said, many firms offer earnings guidance-forecasts of profit for the next 12 months (sometimes longer).</w:t>
      </w:r>
    </w:p>
    <w:p w:rsidR="00295C7C" w:rsidRDefault="00295C7C">
      <w:r>
        <w:t xml:space="preserve">The </w:t>
      </w:r>
      <w:proofErr w:type="spellStart"/>
      <w:r>
        <w:t>Mckinsey</w:t>
      </w:r>
      <w:proofErr w:type="spellEnd"/>
      <w:r>
        <w:t xml:space="preserve"> valuation framework identifies three drivers of enterprise value: rate of return on capital, cost of capital, and profit growth.  Among these, return on capital is the key indicator of the invested firm’s effectiveness in generating profits from its assets.  Hence, ROIC and its equivalent, return on capital employed (ROCE), or its closely related rate of return indicators such as return on equity (ROE) and return on assets (ROA), are valuable performance indicators.  Different profitability measures are related-the longer the period under consideration, the more they tend to converge.  Over shorter periods, the key issues are,</w:t>
      </w:r>
      <w:r w:rsidR="00066680">
        <w:t xml:space="preserve"> first, to be aware of the limitations and biases inherent in any particular profitability measure and, second, to use multiple measures of profitability so that their consistency can be judged.  The greatest of these limitations concerns the use of historical measures of performance to indicate the success of the firm in creating future profits.  Table 2.2 outlines some widely used performance indicators.</w:t>
      </w:r>
    </w:p>
    <w:p w:rsidR="00066680" w:rsidRDefault="00066680"/>
    <w:p w:rsidR="00066680" w:rsidRDefault="00066680">
      <w:pPr>
        <w:rPr>
          <w:b/>
        </w:rPr>
      </w:pPr>
      <w:r w:rsidRPr="00066680">
        <w:rPr>
          <w:b/>
        </w:rPr>
        <w:t>TABLE 2.2</w:t>
      </w:r>
      <w:r>
        <w:rPr>
          <w:b/>
        </w:rPr>
        <w:tab/>
        <w:t>Profitability Ratios</w:t>
      </w:r>
    </w:p>
    <w:tbl>
      <w:tblPr>
        <w:tblStyle w:val="TableGrid"/>
        <w:tblW w:w="0" w:type="auto"/>
        <w:tblLook w:val="04A0" w:firstRow="1" w:lastRow="0" w:firstColumn="1" w:lastColumn="0" w:noHBand="0" w:noVBand="1"/>
      </w:tblPr>
      <w:tblGrid>
        <w:gridCol w:w="1728"/>
        <w:gridCol w:w="4050"/>
        <w:gridCol w:w="3798"/>
      </w:tblGrid>
      <w:tr w:rsidR="00326B4F" w:rsidTr="00066680">
        <w:tc>
          <w:tcPr>
            <w:tcW w:w="1728" w:type="dxa"/>
          </w:tcPr>
          <w:p w:rsidR="00326B4F" w:rsidRDefault="00326B4F">
            <w:pPr>
              <w:rPr>
                <w:b/>
              </w:rPr>
            </w:pPr>
            <w:r>
              <w:rPr>
                <w:b/>
              </w:rPr>
              <w:t>Ratio</w:t>
            </w:r>
          </w:p>
        </w:tc>
        <w:tc>
          <w:tcPr>
            <w:tcW w:w="4050" w:type="dxa"/>
          </w:tcPr>
          <w:p w:rsidR="00326B4F" w:rsidRDefault="00326B4F">
            <w:pPr>
              <w:rPr>
                <w:b/>
                <w:noProof/>
              </w:rPr>
            </w:pPr>
            <w:r>
              <w:rPr>
                <w:b/>
                <w:noProof/>
              </w:rPr>
              <w:t>Formula</w:t>
            </w:r>
          </w:p>
        </w:tc>
        <w:tc>
          <w:tcPr>
            <w:tcW w:w="3798" w:type="dxa"/>
          </w:tcPr>
          <w:p w:rsidR="00326B4F" w:rsidRDefault="00326B4F">
            <w:pPr>
              <w:rPr>
                <w:b/>
              </w:rPr>
            </w:pPr>
            <w:r>
              <w:rPr>
                <w:b/>
              </w:rPr>
              <w:t>Comments</w:t>
            </w:r>
          </w:p>
        </w:tc>
      </w:tr>
      <w:tr w:rsidR="00066680" w:rsidTr="00066680">
        <w:tc>
          <w:tcPr>
            <w:tcW w:w="1728" w:type="dxa"/>
          </w:tcPr>
          <w:p w:rsidR="00066680" w:rsidRDefault="00066680">
            <w:pPr>
              <w:rPr>
                <w:b/>
              </w:rPr>
            </w:pPr>
            <w:r>
              <w:rPr>
                <w:b/>
              </w:rPr>
              <w:t>Return on</w:t>
            </w:r>
          </w:p>
          <w:p w:rsidR="00066680" w:rsidRDefault="00066680">
            <w:pPr>
              <w:rPr>
                <w:b/>
              </w:rPr>
            </w:pPr>
            <w:r>
              <w:rPr>
                <w:b/>
              </w:rPr>
              <w:t>Invested Capital</w:t>
            </w:r>
          </w:p>
          <w:p w:rsidR="00066680" w:rsidRDefault="00066680">
            <w:pPr>
              <w:rPr>
                <w:b/>
              </w:rPr>
            </w:pPr>
            <w:r>
              <w:rPr>
                <w:b/>
              </w:rPr>
              <w:t>(ROIC)</w:t>
            </w:r>
          </w:p>
        </w:tc>
        <w:tc>
          <w:tcPr>
            <w:tcW w:w="4050" w:type="dxa"/>
          </w:tcPr>
          <w:p w:rsidR="00066680" w:rsidRDefault="00066680">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156210</wp:posOffset>
                      </wp:positionV>
                      <wp:extent cx="237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2.3pt" to="188.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" strokecolor="#4579b8 [3044]"/>
                  </w:pict>
                </mc:Fallback>
              </mc:AlternateContent>
            </w:r>
            <w:r>
              <w:rPr>
                <w:b/>
              </w:rPr>
              <w:t>Operation profit before interest after tax</w:t>
            </w:r>
          </w:p>
          <w:p w:rsidR="00066680" w:rsidRDefault="00C82B05">
            <w:pPr>
              <w:rPr>
                <w:b/>
              </w:rPr>
            </w:pPr>
            <w:r>
              <w:rPr>
                <w:b/>
              </w:rPr>
              <w:t>Fixed assets + Net current assets</w:t>
            </w:r>
          </w:p>
        </w:tc>
        <w:tc>
          <w:tcPr>
            <w:tcW w:w="3798" w:type="dxa"/>
          </w:tcPr>
          <w:p w:rsidR="00066680" w:rsidRPr="00BF4A5E" w:rsidRDefault="001C5EEE">
            <w:r w:rsidRPr="00BF4A5E">
              <w:t>ROIC Measures the return on the capital invested in the business.  ROIC is also known as return on capital</w:t>
            </w:r>
            <w:r w:rsidR="00BF4A5E" w:rsidRPr="00BF4A5E">
              <w:t xml:space="preserve"> employed (ROCE).  The numerator is operating profit or earnings (EBIT), and can be pretax or post-tax.  The denominator can also be measured as equity plus debt.</w:t>
            </w:r>
          </w:p>
        </w:tc>
      </w:tr>
      <w:tr w:rsidR="00066680" w:rsidTr="00066680">
        <w:tc>
          <w:tcPr>
            <w:tcW w:w="1728" w:type="dxa"/>
          </w:tcPr>
          <w:p w:rsidR="00066680" w:rsidRDefault="00C82B05">
            <w:pPr>
              <w:rPr>
                <w:b/>
              </w:rPr>
            </w:pPr>
            <w:r>
              <w:rPr>
                <w:b/>
              </w:rPr>
              <w:t>Return on equity (ROE</w:t>
            </w:r>
            <w:r w:rsidR="00066680">
              <w:rPr>
                <w:b/>
              </w:rPr>
              <w:t>)</w:t>
            </w:r>
          </w:p>
        </w:tc>
        <w:tc>
          <w:tcPr>
            <w:tcW w:w="4050" w:type="dxa"/>
          </w:tcPr>
          <w:p w:rsidR="00066680" w:rsidRDefault="00C82B05">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321945</wp:posOffset>
                      </wp:positionH>
                      <wp:positionV relativeFrom="paragraph">
                        <wp:posOffset>152400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5pt,12pt" to="1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LltgEAAMMDAAAOAAAAZHJzL2Uyb0RvYy54bWysU8GOEzEMvSPxD1HudKYjQG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" strokecolor="#4579b8 [3044]"/>
                  </w:pict>
                </mc:Fallback>
              </mc:AlternateContent>
            </w:r>
            <w:r>
              <w:rPr>
                <w:b/>
              </w:rPr>
              <w:t xml:space="preserve">                        Net income</w:t>
            </w:r>
          </w:p>
          <w:p w:rsidR="00C82B05" w:rsidRDefault="00C82B05">
            <w:pPr>
              <w:rPr>
                <w:b/>
              </w:rPr>
            </w:pPr>
            <w:r>
              <w:rPr>
                <w:b/>
              </w:rPr>
              <w:t xml:space="preserve">               Shareholders’ equity</w:t>
            </w:r>
          </w:p>
        </w:tc>
        <w:tc>
          <w:tcPr>
            <w:tcW w:w="3798" w:type="dxa"/>
          </w:tcPr>
          <w:p w:rsidR="00066680" w:rsidRPr="00BF4A5E" w:rsidRDefault="00BF4A5E">
            <w:r w:rsidRPr="00BF4A5E">
              <w:t>ROE measures the firm’s success in using shareholders’ capital to generate profits that are available for remunerating investors.  Net income is often measured net of income from discontinued operations and before any special items.</w:t>
            </w:r>
          </w:p>
        </w:tc>
      </w:tr>
      <w:tr w:rsidR="00066680" w:rsidTr="00066680">
        <w:tc>
          <w:tcPr>
            <w:tcW w:w="1728" w:type="dxa"/>
          </w:tcPr>
          <w:p w:rsidR="00066680" w:rsidRDefault="00C82B05">
            <w:pPr>
              <w:rPr>
                <w:b/>
              </w:rPr>
            </w:pPr>
            <w:r>
              <w:rPr>
                <w:b/>
              </w:rPr>
              <w:t>Return on assets (ROA)</w:t>
            </w:r>
          </w:p>
        </w:tc>
        <w:tc>
          <w:tcPr>
            <w:tcW w:w="4050" w:type="dxa"/>
          </w:tcPr>
          <w:p w:rsidR="00066680" w:rsidRDefault="00C82B05">
            <w:pPr>
              <w:rPr>
                <w:b/>
              </w:rPr>
            </w:pPr>
            <w:r>
              <w:rPr>
                <w:b/>
              </w:rPr>
              <w:t xml:space="preserve">                      Operating profit</w:t>
            </w:r>
          </w:p>
          <w:p w:rsidR="00C82B05" w:rsidRDefault="00C82B05">
            <w:pPr>
              <w:rPr>
                <w:b/>
              </w:rPr>
            </w:pPr>
            <w:r>
              <w:rPr>
                <w:b/>
                <w:noProof/>
              </w:rPr>
              <mc:AlternateContent>
                <mc:Choice Requires="wps">
                  <w:drawing>
                    <wp:anchor distT="0" distB="0" distL="114300" distR="114300" simplePos="0" relativeHeight="251661312" behindDoc="0" locked="0" layoutInCell="1" allowOverlap="1" wp14:anchorId="6C693CA7" wp14:editId="1C48C469">
                      <wp:simplePos x="0" y="0"/>
                      <wp:positionH relativeFrom="column">
                        <wp:posOffset>474345</wp:posOffset>
                      </wp:positionH>
                      <wp:positionV relativeFrom="paragraph">
                        <wp:posOffset>5715</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45pt" to="13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" strokecolor="#4579b8 [3044]"/>
                  </w:pict>
                </mc:Fallback>
              </mc:AlternateContent>
            </w:r>
            <w:r>
              <w:rPr>
                <w:b/>
              </w:rPr>
              <w:t xml:space="preserve">                          Total assets </w:t>
            </w:r>
          </w:p>
        </w:tc>
        <w:tc>
          <w:tcPr>
            <w:tcW w:w="3798" w:type="dxa"/>
          </w:tcPr>
          <w:p w:rsidR="00066680" w:rsidRPr="00BF4A5E" w:rsidRDefault="00BF4A5E">
            <w:r w:rsidRPr="00BF4A5E">
              <w:t>The numerator should correspond to the return on all the company’s assets-</w:t>
            </w:r>
            <w:proofErr w:type="spellStart"/>
            <w:r w:rsidRPr="00BF4A5E">
              <w:t>eg</w:t>
            </w:r>
            <w:proofErr w:type="spellEnd"/>
            <w:r w:rsidRPr="00BF4A5E">
              <w:t>., operating profit, EBITDA (earnings before interest and tax).</w:t>
            </w:r>
          </w:p>
        </w:tc>
      </w:tr>
      <w:tr w:rsidR="00C82B05" w:rsidTr="00066680">
        <w:tc>
          <w:tcPr>
            <w:tcW w:w="1728" w:type="dxa"/>
          </w:tcPr>
          <w:p w:rsidR="00C82B05" w:rsidRDefault="00C82B05">
            <w:pPr>
              <w:rPr>
                <w:b/>
              </w:rPr>
            </w:pPr>
            <w:r>
              <w:rPr>
                <w:b/>
              </w:rPr>
              <w:t>Gross Margin</w:t>
            </w:r>
          </w:p>
        </w:tc>
        <w:tc>
          <w:tcPr>
            <w:tcW w:w="4050" w:type="dxa"/>
          </w:tcPr>
          <w:p w:rsidR="00C82B05" w:rsidRDefault="00C82B05">
            <w:pPr>
              <w:rPr>
                <w:b/>
              </w:rPr>
            </w:pPr>
            <w:r>
              <w:rPr>
                <w:b/>
              </w:rPr>
              <w:t xml:space="preserve">Sales – cost of bought-in goods and  </w:t>
            </w:r>
          </w:p>
          <w:p w:rsidR="00C82B05" w:rsidRDefault="00C82B05">
            <w:pPr>
              <w:rPr>
                <w:b/>
              </w:rPr>
            </w:pPr>
            <w:r>
              <w:rPr>
                <w:b/>
              </w:rPr>
              <w:t xml:space="preserve">                           services</w:t>
            </w:r>
          </w:p>
          <w:p w:rsidR="00C82B05" w:rsidRDefault="00C82B05">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2540</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2pt" to="16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r8tgEAAMMDAAAOAAAAZHJzL2Uyb0RvYy54bWysU8GOEzEMvSPxD1HudKbLCsG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" strokecolor="#4579b8 [3044]"/>
                  </w:pict>
                </mc:Fallback>
              </mc:AlternateContent>
            </w:r>
            <w:r>
              <w:rPr>
                <w:b/>
              </w:rPr>
              <w:t xml:space="preserve">                               sales</w:t>
            </w:r>
          </w:p>
        </w:tc>
        <w:tc>
          <w:tcPr>
            <w:tcW w:w="3798" w:type="dxa"/>
          </w:tcPr>
          <w:p w:rsidR="00C82B05" w:rsidRPr="00BF4A5E" w:rsidRDefault="00BF4A5E">
            <w:r w:rsidRPr="00BF4A5E">
              <w:t>Gross margin measures the extent to which a firm add value to the goods and services it buys in.</w:t>
            </w:r>
          </w:p>
        </w:tc>
      </w:tr>
      <w:tr w:rsidR="00066680" w:rsidTr="00066680">
        <w:tc>
          <w:tcPr>
            <w:tcW w:w="1728" w:type="dxa"/>
          </w:tcPr>
          <w:p w:rsidR="00066680" w:rsidRDefault="00066680">
            <w:pPr>
              <w:rPr>
                <w:b/>
              </w:rPr>
            </w:pPr>
            <w:r>
              <w:rPr>
                <w:b/>
              </w:rPr>
              <w:t xml:space="preserve">Operating </w:t>
            </w:r>
            <w:r>
              <w:rPr>
                <w:b/>
              </w:rPr>
              <w:lastRenderedPageBreak/>
              <w:t>Margin</w:t>
            </w:r>
          </w:p>
        </w:tc>
        <w:tc>
          <w:tcPr>
            <w:tcW w:w="4050" w:type="dxa"/>
          </w:tcPr>
          <w:p w:rsidR="00066680" w:rsidRDefault="00C82B05">
            <w:pPr>
              <w:rPr>
                <w:b/>
              </w:rPr>
            </w:pPr>
            <w:r>
              <w:rPr>
                <w:b/>
              </w:rPr>
              <w:lastRenderedPageBreak/>
              <w:t xml:space="preserve">                      Operating profit</w:t>
            </w:r>
          </w:p>
          <w:p w:rsidR="00C82B05" w:rsidRDefault="00C82B05">
            <w:pPr>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16510</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pt,1.3pt" to="16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k+tgEAAMMDAAAOAAAAZHJzL2Uyb0RvYy54bWysU8GOEzEMvSPxD1HudKaLFsG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" strokecolor="#4579b8 [3044]"/>
                  </w:pict>
                </mc:Fallback>
              </mc:AlternateContent>
            </w:r>
            <w:r>
              <w:rPr>
                <w:b/>
              </w:rPr>
              <w:t xml:space="preserve">                                 sales</w:t>
            </w:r>
          </w:p>
        </w:tc>
        <w:tc>
          <w:tcPr>
            <w:tcW w:w="3798" w:type="dxa"/>
          </w:tcPr>
          <w:p w:rsidR="00066680" w:rsidRDefault="00BF4A5E">
            <w:pPr>
              <w:rPr>
                <w:b/>
              </w:rPr>
            </w:pPr>
            <w:r w:rsidRPr="00BF4A5E">
              <w:lastRenderedPageBreak/>
              <w:t>Operating margin and net margin</w:t>
            </w:r>
            <w:r>
              <w:rPr>
                <w:b/>
              </w:rPr>
              <w:t xml:space="preserve"> </w:t>
            </w:r>
            <w:r w:rsidRPr="00BF4A5E">
              <w:lastRenderedPageBreak/>
              <w:t>measure a firm’s ability to extract profit from its sales, but for appraising firm performance, these ratios reveal little because margins very greatly between sectors according to capital intensity</w:t>
            </w:r>
            <w:r>
              <w:rPr>
                <w:b/>
              </w:rPr>
              <w:t xml:space="preserve"> (see table 2.1).</w:t>
            </w:r>
          </w:p>
        </w:tc>
      </w:tr>
      <w:tr w:rsidR="00066680" w:rsidTr="00066680">
        <w:tc>
          <w:tcPr>
            <w:tcW w:w="1728" w:type="dxa"/>
          </w:tcPr>
          <w:p w:rsidR="00066680" w:rsidRDefault="00066680">
            <w:pPr>
              <w:rPr>
                <w:b/>
              </w:rPr>
            </w:pPr>
            <w:r>
              <w:rPr>
                <w:b/>
              </w:rPr>
              <w:lastRenderedPageBreak/>
              <w:t>Net margin</w:t>
            </w:r>
          </w:p>
        </w:tc>
        <w:tc>
          <w:tcPr>
            <w:tcW w:w="4050" w:type="dxa"/>
          </w:tcPr>
          <w:p w:rsidR="00066680" w:rsidRDefault="00C82B05">
            <w:pPr>
              <w:rPr>
                <w:b/>
              </w:rPr>
            </w:pPr>
            <w:r>
              <w:rPr>
                <w:b/>
              </w:rPr>
              <w:t xml:space="preserve">                          Net income</w:t>
            </w:r>
          </w:p>
          <w:p w:rsidR="00C82B05" w:rsidRDefault="00C82B05">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274319</wp:posOffset>
                      </wp:positionH>
                      <wp:positionV relativeFrom="paragraph">
                        <wp:posOffset>2540</wp:posOffset>
                      </wp:positionV>
                      <wp:extent cx="1762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pt,.2pt" to="16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" strokecolor="#4579b8 [3044]"/>
                  </w:pict>
                </mc:Fallback>
              </mc:AlternateContent>
            </w:r>
            <w:r>
              <w:rPr>
                <w:b/>
              </w:rPr>
              <w:t xml:space="preserve">                                sales</w:t>
            </w:r>
          </w:p>
        </w:tc>
        <w:tc>
          <w:tcPr>
            <w:tcW w:w="3798" w:type="dxa"/>
          </w:tcPr>
          <w:p w:rsidR="00066680" w:rsidRDefault="00066680">
            <w:pPr>
              <w:rPr>
                <w:b/>
              </w:rPr>
            </w:pPr>
          </w:p>
        </w:tc>
      </w:tr>
    </w:tbl>
    <w:p w:rsidR="00066680" w:rsidRDefault="00066680">
      <w:pPr>
        <w:rPr>
          <w:b/>
        </w:rPr>
      </w:pPr>
    </w:p>
    <w:p w:rsidR="007B6240" w:rsidRDefault="007B6240">
      <w:pPr>
        <w:rPr>
          <w:b/>
        </w:rPr>
      </w:pPr>
    </w:p>
    <w:p w:rsidR="007B6240" w:rsidRDefault="007B6240">
      <w:pPr>
        <w:rPr>
          <w:b/>
        </w:rPr>
      </w:pPr>
    </w:p>
    <w:p w:rsidR="007B6240" w:rsidRDefault="007B6240" w:rsidP="00260D5F">
      <w:pPr>
        <w:pBdr>
          <w:bottom w:val="single" w:sz="4" w:space="1" w:color="auto"/>
        </w:pBdr>
        <w:rPr>
          <w:b/>
        </w:rPr>
      </w:pPr>
      <w:r>
        <w:rPr>
          <w:b/>
        </w:rPr>
        <w:t>TABLE 2.1</w:t>
      </w:r>
      <w:r>
        <w:rPr>
          <w:b/>
        </w:rPr>
        <w:tab/>
        <w:t>The performance of some of the world’s leading companies in terms of different profitability measures, 2010</w:t>
      </w:r>
    </w:p>
    <w:p w:rsidR="007B6240" w:rsidRPr="007B6240" w:rsidRDefault="007B6240" w:rsidP="007B6240">
      <w:pPr>
        <w:spacing w:after="0"/>
      </w:pPr>
      <w:r>
        <w:rPr>
          <w:b/>
        </w:rPr>
        <w:tab/>
      </w:r>
      <w:r>
        <w:rPr>
          <w:b/>
        </w:rPr>
        <w:tab/>
      </w:r>
      <w:r>
        <w:rPr>
          <w:b/>
        </w:rPr>
        <w:tab/>
      </w:r>
      <w:r w:rsidRPr="007B6240">
        <w:t xml:space="preserve">Market </w:t>
      </w:r>
      <w:proofErr w:type="spellStart"/>
      <w:r w:rsidRPr="007B6240">
        <w:t>capitaliza</w:t>
      </w:r>
      <w:proofErr w:type="spellEnd"/>
      <w:r>
        <w:t>-      Net income</w:t>
      </w:r>
      <w:r w:rsidR="00EC4A74">
        <w:t xml:space="preserve"> </w:t>
      </w:r>
      <w:r w:rsidR="00EC4A74">
        <w:tab/>
      </w:r>
      <w:r w:rsidR="00EC4A74">
        <w:tab/>
      </w:r>
      <w:r w:rsidR="00EC4A74">
        <w:tab/>
      </w:r>
      <w:r w:rsidR="00EC4A74">
        <w:tab/>
        <w:t xml:space="preserve">  </w:t>
      </w:r>
      <w:r>
        <w:t xml:space="preserve">Return to </w:t>
      </w:r>
    </w:p>
    <w:p w:rsidR="007B6240" w:rsidRPr="007B6240" w:rsidRDefault="007B6240" w:rsidP="00E7046C">
      <w:pPr>
        <w:pBdr>
          <w:bottom w:val="single" w:sz="4" w:space="1" w:color="auto"/>
        </w:pBdr>
        <w:spacing w:after="0"/>
      </w:pPr>
      <w:r w:rsidRPr="007B6240">
        <w:t>Company</w:t>
      </w:r>
      <w:r>
        <w:tab/>
      </w:r>
      <w:r>
        <w:tab/>
      </w:r>
      <w:proofErr w:type="spellStart"/>
      <w:r>
        <w:t>tion</w:t>
      </w:r>
      <w:proofErr w:type="spellEnd"/>
      <w:r>
        <w:t xml:space="preserve"> </w:t>
      </w:r>
      <w:r w:rsidRPr="007B6240">
        <w:t>($billion)</w:t>
      </w:r>
      <w:r>
        <w:tab/>
        <w:t xml:space="preserve">          ($billion)</w:t>
      </w:r>
      <w:r>
        <w:tab/>
      </w:r>
      <w:r w:rsidR="00EC4A74">
        <w:t xml:space="preserve"> </w:t>
      </w:r>
      <w:proofErr w:type="gramStart"/>
      <w:r>
        <w:t>ROS(</w:t>
      </w:r>
      <w:proofErr w:type="gramEnd"/>
      <w:r>
        <w:t>%)</w:t>
      </w:r>
      <w:r>
        <w:tab/>
        <w:t xml:space="preserve">     ROE (%)       ROA (%)   shareholders %</w:t>
      </w:r>
    </w:p>
    <w:p w:rsidR="00EC4A74" w:rsidRDefault="00EC4A74" w:rsidP="007B6240">
      <w:pPr>
        <w:spacing w:after="0"/>
        <w:rPr>
          <w:b/>
        </w:rPr>
      </w:pPr>
    </w:p>
    <w:p w:rsidR="007B6240" w:rsidRDefault="007B6240" w:rsidP="007B6240">
      <w:pPr>
        <w:spacing w:after="0"/>
        <w:rPr>
          <w:b/>
        </w:rPr>
      </w:pPr>
      <w:r>
        <w:rPr>
          <w:b/>
        </w:rPr>
        <w:t>ExxonMobil</w:t>
      </w:r>
      <w:r>
        <w:rPr>
          <w:b/>
        </w:rPr>
        <w:tab/>
      </w:r>
      <w:r>
        <w:rPr>
          <w:b/>
        </w:rPr>
        <w:tab/>
      </w:r>
      <w:r w:rsidR="00EC4A74">
        <w:rPr>
          <w:b/>
        </w:rPr>
        <w:t>354</w:t>
      </w:r>
      <w:r w:rsidR="00EC4A74">
        <w:rPr>
          <w:b/>
        </w:rPr>
        <w:tab/>
      </w:r>
      <w:r w:rsidR="00EC4A74">
        <w:rPr>
          <w:b/>
        </w:rPr>
        <w:tab/>
        <w:t xml:space="preserve">           30.5            15.2           20.7            17.5        </w:t>
      </w:r>
      <w:r w:rsidR="00796705">
        <w:rPr>
          <w:b/>
        </w:rPr>
        <w:t xml:space="preserve">       </w:t>
      </w:r>
      <w:r w:rsidR="00EC4A74">
        <w:rPr>
          <w:b/>
        </w:rPr>
        <w:t xml:space="preserve">   10.1               </w:t>
      </w:r>
    </w:p>
    <w:p w:rsidR="007B6240" w:rsidRDefault="007B6240" w:rsidP="007B6240">
      <w:pPr>
        <w:spacing w:after="0"/>
        <w:rPr>
          <w:b/>
        </w:rPr>
      </w:pPr>
      <w:r>
        <w:rPr>
          <w:b/>
        </w:rPr>
        <w:t>Apple</w:t>
      </w:r>
      <w:r w:rsidR="00EC4A74">
        <w:rPr>
          <w:b/>
        </w:rPr>
        <w:tab/>
      </w:r>
      <w:r w:rsidR="00EC4A74">
        <w:rPr>
          <w:b/>
        </w:rPr>
        <w:tab/>
      </w:r>
      <w:r w:rsidR="00EC4A74">
        <w:rPr>
          <w:b/>
        </w:rPr>
        <w:tab/>
        <w:t>338</w:t>
      </w:r>
      <w:r w:rsidR="00EC4A74">
        <w:rPr>
          <w:b/>
        </w:rPr>
        <w:tab/>
      </w:r>
      <w:r w:rsidR="00EC4A74">
        <w:rPr>
          <w:b/>
        </w:rPr>
        <w:tab/>
        <w:t xml:space="preserve">           14.0            31.2           29.3            29.0          </w:t>
      </w:r>
      <w:r w:rsidR="00796705">
        <w:rPr>
          <w:b/>
        </w:rPr>
        <w:t xml:space="preserve">       </w:t>
      </w:r>
      <w:r w:rsidR="00EC4A74">
        <w:rPr>
          <w:b/>
        </w:rPr>
        <w:t xml:space="preserve"> 53.1</w:t>
      </w:r>
    </w:p>
    <w:p w:rsidR="007B6240" w:rsidRDefault="007B6240" w:rsidP="007B6240">
      <w:pPr>
        <w:spacing w:after="0"/>
        <w:rPr>
          <w:b/>
        </w:rPr>
      </w:pPr>
      <w:proofErr w:type="spellStart"/>
      <w:r>
        <w:rPr>
          <w:b/>
        </w:rPr>
        <w:t>PetroChina</w:t>
      </w:r>
      <w:proofErr w:type="spellEnd"/>
      <w:r w:rsidR="00EC4A74">
        <w:rPr>
          <w:b/>
        </w:rPr>
        <w:tab/>
      </w:r>
      <w:r w:rsidR="00EC4A74">
        <w:rPr>
          <w:b/>
        </w:rPr>
        <w:tab/>
        <w:t xml:space="preserve">226                                 22.9            10.6           15.3            11.7         </w:t>
      </w:r>
      <w:r w:rsidR="00796705">
        <w:rPr>
          <w:b/>
        </w:rPr>
        <w:t xml:space="preserve">       </w:t>
      </w:r>
      <w:r w:rsidR="00EC4A74">
        <w:rPr>
          <w:b/>
        </w:rPr>
        <w:t xml:space="preserve">   -8.4</w:t>
      </w:r>
    </w:p>
    <w:p w:rsidR="007B6240" w:rsidRDefault="007B6240" w:rsidP="007B6240">
      <w:pPr>
        <w:spacing w:after="0"/>
        <w:rPr>
          <w:b/>
        </w:rPr>
      </w:pPr>
      <w:r>
        <w:rPr>
          <w:b/>
        </w:rPr>
        <w:t>General Electric</w:t>
      </w:r>
      <w:r w:rsidR="00EC4A74">
        <w:rPr>
          <w:b/>
        </w:rPr>
        <w:tab/>
      </w:r>
      <w:r w:rsidR="00EC4A74">
        <w:rPr>
          <w:b/>
        </w:rPr>
        <w:tab/>
        <w:t xml:space="preserve">155                                 11.6            12.7             9.8             18.9         </w:t>
      </w:r>
      <w:r w:rsidR="00796705">
        <w:rPr>
          <w:b/>
        </w:rPr>
        <w:t xml:space="preserve">       </w:t>
      </w:r>
      <w:r w:rsidR="00EC4A74">
        <w:rPr>
          <w:b/>
        </w:rPr>
        <w:t xml:space="preserve">  23.9</w:t>
      </w:r>
    </w:p>
    <w:p w:rsidR="007B6240" w:rsidRDefault="007B6240" w:rsidP="007B6240">
      <w:pPr>
        <w:spacing w:after="0"/>
        <w:rPr>
          <w:b/>
        </w:rPr>
      </w:pPr>
      <w:r>
        <w:rPr>
          <w:b/>
        </w:rPr>
        <w:t>JPMorgan Chase</w:t>
      </w:r>
      <w:r w:rsidR="00EC4A74">
        <w:rPr>
          <w:b/>
        </w:rPr>
        <w:t xml:space="preserve">             108                                 17.4            28.5             9.9             11.8           </w:t>
      </w:r>
      <w:r w:rsidR="00796705">
        <w:rPr>
          <w:b/>
        </w:rPr>
        <w:t xml:space="preserve">        </w:t>
      </w:r>
      <w:r w:rsidR="00EC4A74">
        <w:rPr>
          <w:b/>
        </w:rPr>
        <w:t xml:space="preserve"> 2.3</w:t>
      </w:r>
    </w:p>
    <w:p w:rsidR="007B6240" w:rsidRDefault="007B6240" w:rsidP="007B6240">
      <w:pPr>
        <w:spacing w:after="0"/>
        <w:rPr>
          <w:b/>
        </w:rPr>
      </w:pPr>
      <w:r>
        <w:rPr>
          <w:b/>
        </w:rPr>
        <w:t>Wal-Mart Stores</w:t>
      </w:r>
      <w:r w:rsidR="00EC4A74">
        <w:rPr>
          <w:b/>
        </w:rPr>
        <w:t xml:space="preserve">             196                                 30.5              5.9           23.5             14.1           </w:t>
      </w:r>
      <w:r w:rsidR="00796705">
        <w:rPr>
          <w:b/>
        </w:rPr>
        <w:t xml:space="preserve">       </w:t>
      </w:r>
      <w:r w:rsidR="00EC4A74">
        <w:rPr>
          <w:b/>
        </w:rPr>
        <w:t xml:space="preserve">  3.2</w:t>
      </w:r>
    </w:p>
    <w:p w:rsidR="007B6240" w:rsidRPr="00066680" w:rsidRDefault="007B6240">
      <w:pPr>
        <w:rPr>
          <w:b/>
        </w:rPr>
      </w:pPr>
      <w:r>
        <w:rPr>
          <w:b/>
        </w:rPr>
        <w:t>Volkswagen</w:t>
      </w:r>
      <w:r w:rsidR="00EC4A74">
        <w:rPr>
          <w:b/>
        </w:rPr>
        <w:t xml:space="preserve">                       64                                   9.1              7.5            32.9               3.6       </w:t>
      </w:r>
      <w:r w:rsidR="00E7046C">
        <w:rPr>
          <w:b/>
        </w:rPr>
        <w:t xml:space="preserve"> </w:t>
      </w:r>
      <w:r w:rsidR="00796705">
        <w:rPr>
          <w:b/>
        </w:rPr>
        <w:t xml:space="preserve">       </w:t>
      </w:r>
      <w:bookmarkStart w:id="0" w:name="_GoBack"/>
      <w:bookmarkEnd w:id="0"/>
      <w:r w:rsidR="00E7046C">
        <w:rPr>
          <w:b/>
        </w:rPr>
        <w:t xml:space="preserve"> 123.2</w:t>
      </w:r>
    </w:p>
    <w:sectPr w:rsidR="007B6240" w:rsidRPr="0006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7C"/>
    <w:rsid w:val="00066680"/>
    <w:rsid w:val="00162281"/>
    <w:rsid w:val="001C5EEE"/>
    <w:rsid w:val="00260D5F"/>
    <w:rsid w:val="00295C7C"/>
    <w:rsid w:val="00326B4F"/>
    <w:rsid w:val="00796705"/>
    <w:rsid w:val="007B6240"/>
    <w:rsid w:val="00BF4A5E"/>
    <w:rsid w:val="00C82B05"/>
    <w:rsid w:val="00E7046C"/>
    <w:rsid w:val="00E86A2C"/>
    <w:rsid w:val="00EC4A74"/>
    <w:rsid w:val="00F5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9</cp:revision>
  <dcterms:created xsi:type="dcterms:W3CDTF">2013-10-26T02:14:00Z</dcterms:created>
  <dcterms:modified xsi:type="dcterms:W3CDTF">2013-10-26T02:38:00Z</dcterms:modified>
</cp:coreProperties>
</file>