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9C" w:rsidRDefault="00554502">
      <w:r>
        <w:t xml:space="preserve">Jason Novell, doing business as Novell Associates, hired Barbara Meade as an independent contractor. The parties orally agreed on the terms of employment, including payment of a share of the company’s income to Meade, but they did not put anything in writing. Two years later, Meade quit. Novell then told Meade that she was entitled to $9,602 – 25 percent of the difference between the accounts receivable and the accounts payable as of Meade’s last day of work. Meade disagreed and demanded more than $63,500 – 25 percent of the revenues from all invoices, less the cost of materials and outside processing, for each of the years that she had worked for Novell. Meade filed a lawsuit against Novell for breach of contract. </w:t>
      </w:r>
    </w:p>
    <w:sectPr w:rsidR="008A609C" w:rsidSect="008A6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502"/>
    <w:rsid w:val="00554502"/>
    <w:rsid w:val="008A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2013-10-13T19:02:00Z</dcterms:created>
  <dcterms:modified xsi:type="dcterms:W3CDTF">2013-10-13T19:05:00Z</dcterms:modified>
</cp:coreProperties>
</file>