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724" w:rsidRPr="00310034" w:rsidRDefault="00436724" w:rsidP="00436724">
      <w:pPr>
        <w:rPr>
          <w:rFonts w:ascii="Arial" w:hAnsi="Arial" w:cs="Arial"/>
          <w:sz w:val="24"/>
          <w:szCs w:val="24"/>
        </w:rPr>
      </w:pPr>
      <w:r>
        <w:rPr>
          <w:rFonts w:ascii="Arial" w:hAnsi="Arial" w:cs="Arial"/>
          <w:sz w:val="24"/>
          <w:szCs w:val="24"/>
        </w:rPr>
        <w:t xml:space="preserve">48. </w:t>
      </w:r>
      <w:r w:rsidRPr="00310034">
        <w:rPr>
          <w:rFonts w:ascii="Arial" w:hAnsi="Arial" w:cs="Arial"/>
          <w:sz w:val="24"/>
          <w:szCs w:val="24"/>
        </w:rPr>
        <w:t xml:space="preserve">Determining break-even price in a reduce-or-expand decision. </w:t>
      </w:r>
      <w:proofErr w:type="spellStart"/>
      <w:r w:rsidRPr="00310034">
        <w:rPr>
          <w:rFonts w:ascii="Arial" w:hAnsi="Arial" w:cs="Arial"/>
          <w:sz w:val="24"/>
          <w:szCs w:val="24"/>
        </w:rPr>
        <w:t>QuickCare</w:t>
      </w:r>
      <w:proofErr w:type="spellEnd"/>
      <w:r w:rsidRPr="00310034">
        <w:rPr>
          <w:rFonts w:ascii="Arial" w:hAnsi="Arial" w:cs="Arial"/>
          <w:sz w:val="24"/>
          <w:szCs w:val="24"/>
        </w:rPr>
        <w:t xml:space="preserve"> is a health care franchise that functions as a primary family health clinic, seeing unscheduled patients twenty-four hours a day. Several months after the grand opening, a corporate office management engineering study showed that the clinic was experiencing some dips in volume in the </w:t>
      </w:r>
      <w:proofErr w:type="spellStart"/>
      <w:r w:rsidRPr="00310034">
        <w:rPr>
          <w:rFonts w:ascii="Arial" w:hAnsi="Arial" w:cs="Arial"/>
          <w:sz w:val="24"/>
          <w:szCs w:val="24"/>
        </w:rPr>
        <w:t>midafternoon</w:t>
      </w:r>
      <w:proofErr w:type="spellEnd"/>
      <w:r w:rsidRPr="00310034">
        <w:rPr>
          <w:rFonts w:ascii="Arial" w:hAnsi="Arial" w:cs="Arial"/>
          <w:sz w:val="24"/>
          <w:szCs w:val="24"/>
        </w:rPr>
        <w:t xml:space="preserve"> hours. To increase volume, efficiency, and revenues, the clinic administrator contracted with the area high schools to provide after-school physicals for the sports teams. The initial agreement was that </w:t>
      </w:r>
      <w:proofErr w:type="spellStart"/>
      <w:r w:rsidRPr="00310034">
        <w:rPr>
          <w:rFonts w:ascii="Arial" w:hAnsi="Arial" w:cs="Arial"/>
          <w:sz w:val="24"/>
          <w:szCs w:val="24"/>
        </w:rPr>
        <w:t>QuickCare</w:t>
      </w:r>
      <w:proofErr w:type="spellEnd"/>
      <w:r w:rsidRPr="00310034">
        <w:rPr>
          <w:rFonts w:ascii="Arial" w:hAnsi="Arial" w:cs="Arial"/>
          <w:sz w:val="24"/>
          <w:szCs w:val="24"/>
        </w:rPr>
        <w:t xml:space="preserve"> would charge $100 per exam, the market average. Fixed costs were $30,000 and variable costs are $25 per physical. Although this strategy proved somewhat successful, gross profit margin lagged behind the corporate expectations. To improve margins, the clinic is considering increasing the exam price to $125. </w:t>
      </w:r>
      <w:proofErr w:type="spellStart"/>
      <w:r w:rsidRPr="00310034">
        <w:rPr>
          <w:rFonts w:ascii="Arial" w:hAnsi="Arial" w:cs="Arial"/>
          <w:sz w:val="24"/>
          <w:szCs w:val="24"/>
        </w:rPr>
        <w:t>QuickCare’s</w:t>
      </w:r>
      <w:proofErr w:type="spellEnd"/>
      <w:r w:rsidRPr="00310034">
        <w:rPr>
          <w:rFonts w:ascii="Arial" w:hAnsi="Arial" w:cs="Arial"/>
          <w:sz w:val="24"/>
          <w:szCs w:val="24"/>
        </w:rPr>
        <w:t xml:space="preserve"> administrator projects that this price increase will cause the high schools to send their athletes to other providers and that volume could drop by 33 percent. Last year, </w:t>
      </w:r>
      <w:proofErr w:type="spellStart"/>
      <w:r w:rsidRPr="00310034">
        <w:rPr>
          <w:rFonts w:ascii="Arial" w:hAnsi="Arial" w:cs="Arial"/>
          <w:sz w:val="24"/>
          <w:szCs w:val="24"/>
        </w:rPr>
        <w:t>QuickCare</w:t>
      </w:r>
      <w:proofErr w:type="spellEnd"/>
      <w:r w:rsidRPr="00310034">
        <w:rPr>
          <w:rFonts w:ascii="Arial" w:hAnsi="Arial" w:cs="Arial"/>
          <w:sz w:val="24"/>
          <w:szCs w:val="24"/>
        </w:rPr>
        <w:t xml:space="preserve"> performed 1,026 examinations. The administrator feels that if the program closes down, all $30,000 in fixed costs would be saved. </w:t>
      </w:r>
      <w:r w:rsidRPr="00310034">
        <w:rPr>
          <w:rFonts w:ascii="Arial" w:hAnsi="Arial" w:cs="Arial"/>
          <w:sz w:val="24"/>
          <w:szCs w:val="24"/>
        </w:rPr>
        <w:br/>
        <w:t xml:space="preserve">a. What should </w:t>
      </w:r>
      <w:proofErr w:type="spellStart"/>
      <w:r w:rsidRPr="00310034">
        <w:rPr>
          <w:rFonts w:ascii="Arial" w:hAnsi="Arial" w:cs="Arial"/>
          <w:sz w:val="24"/>
          <w:szCs w:val="24"/>
        </w:rPr>
        <w:t>QuickCare’s</w:t>
      </w:r>
      <w:proofErr w:type="spellEnd"/>
      <w:r w:rsidRPr="00310034">
        <w:rPr>
          <w:rFonts w:ascii="Arial" w:hAnsi="Arial" w:cs="Arial"/>
          <w:sz w:val="24"/>
          <w:szCs w:val="24"/>
        </w:rPr>
        <w:t xml:space="preserve"> decision be, assuming that this price increase will decrease the number of patients seen by one-third? </w:t>
      </w:r>
      <w:r w:rsidRPr="00310034">
        <w:rPr>
          <w:rFonts w:ascii="Arial" w:hAnsi="Arial" w:cs="Arial"/>
          <w:sz w:val="24"/>
          <w:szCs w:val="24"/>
        </w:rPr>
        <w:br/>
        <w:t xml:space="preserve">b. What price would </w:t>
      </w:r>
      <w:proofErr w:type="spellStart"/>
      <w:r w:rsidRPr="00310034">
        <w:rPr>
          <w:rFonts w:ascii="Arial" w:hAnsi="Arial" w:cs="Arial"/>
          <w:sz w:val="24"/>
          <w:szCs w:val="24"/>
        </w:rPr>
        <w:t>QuickCare</w:t>
      </w:r>
      <w:proofErr w:type="spellEnd"/>
      <w:r w:rsidRPr="00310034">
        <w:rPr>
          <w:rFonts w:ascii="Arial" w:hAnsi="Arial" w:cs="Arial"/>
          <w:sz w:val="24"/>
          <w:szCs w:val="24"/>
        </w:rPr>
        <w:t xml:space="preserve"> have to charge to make up for the loss of patients? </w:t>
      </w:r>
      <w:r w:rsidRPr="00310034">
        <w:rPr>
          <w:rFonts w:ascii="Arial" w:hAnsi="Arial" w:cs="Arial"/>
          <w:sz w:val="24"/>
          <w:szCs w:val="24"/>
        </w:rPr>
        <w:br/>
        <w:t xml:space="preserve">c. Using the information from point 1, should </w:t>
      </w:r>
      <w:proofErr w:type="spellStart"/>
      <w:r w:rsidRPr="00310034">
        <w:rPr>
          <w:rFonts w:ascii="Arial" w:hAnsi="Arial" w:cs="Arial"/>
          <w:sz w:val="24"/>
          <w:szCs w:val="24"/>
        </w:rPr>
        <w:t>QuickCare</w:t>
      </w:r>
      <w:proofErr w:type="spellEnd"/>
      <w:r w:rsidRPr="00310034">
        <w:rPr>
          <w:rFonts w:ascii="Arial" w:hAnsi="Arial" w:cs="Arial"/>
          <w:sz w:val="24"/>
          <w:szCs w:val="24"/>
        </w:rPr>
        <w:t xml:space="preserve"> make the same decision if 40% of the fixed costs are avoidable? Would it be better or worse off? Why?</w:t>
      </w:r>
    </w:p>
    <w:p w:rsidR="00F25404" w:rsidRDefault="00436724" w:rsidP="00436724">
      <w:pPr>
        <w:rPr>
          <w:rFonts w:ascii="Arial" w:hAnsi="Arial" w:cs="Arial"/>
          <w:sz w:val="24"/>
          <w:szCs w:val="24"/>
        </w:rPr>
      </w:pPr>
      <w:r>
        <w:rPr>
          <w:rFonts w:ascii="Arial" w:hAnsi="Arial" w:cs="Arial"/>
          <w:sz w:val="24"/>
          <w:szCs w:val="24"/>
        </w:rPr>
        <w:t xml:space="preserve">52. </w:t>
      </w:r>
      <w:r w:rsidRPr="00310034">
        <w:rPr>
          <w:rFonts w:ascii="Arial" w:hAnsi="Arial" w:cs="Arial"/>
          <w:sz w:val="24"/>
          <w:szCs w:val="24"/>
        </w:rPr>
        <w:t xml:space="preserve">Break-even equation. Fill in the blank. The following table contains selected data concerning several outpatient clinics in the new Ambulatory Care Center at Hope University Hospital. Fill in the missing information. </w:t>
      </w:r>
      <w:r w:rsidRPr="00310034">
        <w:rPr>
          <w:rFonts w:ascii="Arial" w:hAnsi="Arial" w:cs="Arial"/>
          <w:sz w:val="24"/>
          <w:szCs w:val="24"/>
        </w:rPr>
        <w:br/>
      </w:r>
    </w:p>
    <w:tbl>
      <w:tblPr>
        <w:tblStyle w:val="TableGrid"/>
        <w:tblW w:w="5000" w:type="pct"/>
        <w:tblLook w:val="04A0"/>
      </w:tblPr>
      <w:tblGrid>
        <w:gridCol w:w="1127"/>
        <w:gridCol w:w="1886"/>
        <w:gridCol w:w="1685"/>
        <w:gridCol w:w="2135"/>
        <w:gridCol w:w="1362"/>
        <w:gridCol w:w="1381"/>
      </w:tblGrid>
      <w:tr w:rsidR="00F25404" w:rsidRPr="00F25404" w:rsidTr="00F25404">
        <w:tc>
          <w:tcPr>
            <w:tcW w:w="588" w:type="pct"/>
          </w:tcPr>
          <w:p w:rsidR="00F25404" w:rsidRPr="00F25404" w:rsidRDefault="00F25404" w:rsidP="00287EE9">
            <w:pPr>
              <w:jc w:val="center"/>
              <w:rPr>
                <w:rFonts w:ascii="Arial" w:hAnsi="Arial" w:cs="Arial"/>
                <w:b/>
                <w:sz w:val="24"/>
                <w:szCs w:val="24"/>
              </w:rPr>
            </w:pPr>
            <w:r w:rsidRPr="00F25404">
              <w:rPr>
                <w:rFonts w:ascii="Arial" w:hAnsi="Arial" w:cs="Arial"/>
                <w:b/>
                <w:sz w:val="24"/>
                <w:szCs w:val="24"/>
              </w:rPr>
              <w:t>A</w:t>
            </w:r>
            <w:r w:rsidRPr="00F25404">
              <w:rPr>
                <w:rFonts w:ascii="Arial" w:hAnsi="Arial" w:cs="Arial"/>
                <w:b/>
                <w:sz w:val="24"/>
                <w:szCs w:val="24"/>
              </w:rPr>
              <w:br/>
              <w:t>Price Visit</w:t>
            </w:r>
          </w:p>
        </w:tc>
        <w:tc>
          <w:tcPr>
            <w:tcW w:w="985" w:type="pct"/>
          </w:tcPr>
          <w:p w:rsidR="00F25404" w:rsidRPr="00F25404" w:rsidRDefault="00F25404" w:rsidP="00287EE9">
            <w:pPr>
              <w:jc w:val="center"/>
              <w:rPr>
                <w:rFonts w:ascii="Arial" w:hAnsi="Arial" w:cs="Arial"/>
                <w:b/>
                <w:sz w:val="24"/>
                <w:szCs w:val="24"/>
              </w:rPr>
            </w:pPr>
            <w:r w:rsidRPr="00F25404">
              <w:rPr>
                <w:rFonts w:ascii="Arial" w:hAnsi="Arial" w:cs="Arial"/>
                <w:b/>
                <w:sz w:val="24"/>
                <w:szCs w:val="24"/>
              </w:rPr>
              <w:t>B</w:t>
            </w:r>
            <w:r w:rsidRPr="00F25404">
              <w:rPr>
                <w:rFonts w:ascii="Arial" w:hAnsi="Arial" w:cs="Arial"/>
                <w:b/>
                <w:sz w:val="24"/>
                <w:szCs w:val="24"/>
              </w:rPr>
              <w:br/>
              <w:t>Variable Cost/Visit</w:t>
            </w:r>
          </w:p>
        </w:tc>
        <w:tc>
          <w:tcPr>
            <w:tcW w:w="880" w:type="pct"/>
          </w:tcPr>
          <w:p w:rsidR="00F25404" w:rsidRPr="00F25404" w:rsidRDefault="00F25404" w:rsidP="00287EE9">
            <w:pPr>
              <w:jc w:val="center"/>
              <w:rPr>
                <w:rFonts w:ascii="Arial" w:hAnsi="Arial" w:cs="Arial"/>
                <w:b/>
                <w:sz w:val="24"/>
                <w:szCs w:val="24"/>
              </w:rPr>
            </w:pPr>
            <w:r w:rsidRPr="00F25404">
              <w:rPr>
                <w:rFonts w:ascii="Arial" w:hAnsi="Arial" w:cs="Arial"/>
                <w:b/>
                <w:sz w:val="24"/>
                <w:szCs w:val="24"/>
              </w:rPr>
              <w:t>C</w:t>
            </w:r>
            <w:r w:rsidRPr="00F25404">
              <w:rPr>
                <w:rFonts w:ascii="Arial" w:hAnsi="Arial" w:cs="Arial"/>
                <w:b/>
                <w:sz w:val="24"/>
                <w:szCs w:val="24"/>
              </w:rPr>
              <w:br/>
              <w:t>Number of Visits</w:t>
            </w:r>
          </w:p>
        </w:tc>
        <w:tc>
          <w:tcPr>
            <w:tcW w:w="1115" w:type="pct"/>
          </w:tcPr>
          <w:p w:rsidR="00F25404" w:rsidRPr="00F25404" w:rsidRDefault="00F25404" w:rsidP="00287EE9">
            <w:pPr>
              <w:jc w:val="center"/>
              <w:rPr>
                <w:rFonts w:ascii="Arial" w:hAnsi="Arial" w:cs="Arial"/>
                <w:b/>
                <w:sz w:val="24"/>
                <w:szCs w:val="24"/>
              </w:rPr>
            </w:pPr>
            <w:r w:rsidRPr="00F25404">
              <w:rPr>
                <w:rFonts w:ascii="Arial" w:hAnsi="Arial" w:cs="Arial"/>
                <w:b/>
                <w:sz w:val="24"/>
                <w:szCs w:val="24"/>
              </w:rPr>
              <w:t>D</w:t>
            </w:r>
            <w:r w:rsidRPr="00F25404">
              <w:rPr>
                <w:rFonts w:ascii="Arial" w:hAnsi="Arial" w:cs="Arial"/>
                <w:b/>
                <w:sz w:val="24"/>
                <w:szCs w:val="24"/>
              </w:rPr>
              <w:br/>
              <w:t>Contribution Margin</w:t>
            </w:r>
          </w:p>
        </w:tc>
        <w:tc>
          <w:tcPr>
            <w:tcW w:w="711" w:type="pct"/>
          </w:tcPr>
          <w:p w:rsidR="00F25404" w:rsidRPr="00F25404" w:rsidRDefault="00F25404" w:rsidP="00287EE9">
            <w:pPr>
              <w:jc w:val="center"/>
              <w:rPr>
                <w:rFonts w:ascii="Arial" w:hAnsi="Arial" w:cs="Arial"/>
                <w:b/>
                <w:sz w:val="24"/>
                <w:szCs w:val="24"/>
              </w:rPr>
            </w:pPr>
            <w:r w:rsidRPr="00F25404">
              <w:rPr>
                <w:rFonts w:ascii="Arial" w:hAnsi="Arial" w:cs="Arial"/>
                <w:b/>
                <w:sz w:val="24"/>
                <w:szCs w:val="24"/>
              </w:rPr>
              <w:t>E</w:t>
            </w:r>
            <w:r w:rsidRPr="00F25404">
              <w:rPr>
                <w:rFonts w:ascii="Arial" w:hAnsi="Arial" w:cs="Arial"/>
                <w:b/>
                <w:sz w:val="24"/>
                <w:szCs w:val="24"/>
              </w:rPr>
              <w:br/>
              <w:t>Fixed Costs</w:t>
            </w:r>
          </w:p>
        </w:tc>
        <w:tc>
          <w:tcPr>
            <w:tcW w:w="722" w:type="pct"/>
          </w:tcPr>
          <w:p w:rsidR="00F25404" w:rsidRPr="00F25404" w:rsidRDefault="00F25404" w:rsidP="00287EE9">
            <w:pPr>
              <w:jc w:val="center"/>
              <w:rPr>
                <w:rFonts w:ascii="Arial" w:hAnsi="Arial" w:cs="Arial"/>
                <w:b/>
                <w:sz w:val="24"/>
                <w:szCs w:val="24"/>
              </w:rPr>
            </w:pPr>
            <w:r w:rsidRPr="00F25404">
              <w:rPr>
                <w:rFonts w:ascii="Arial" w:hAnsi="Arial" w:cs="Arial"/>
                <w:b/>
                <w:sz w:val="24"/>
                <w:szCs w:val="24"/>
              </w:rPr>
              <w:t>F</w:t>
            </w:r>
            <w:r w:rsidRPr="00F25404">
              <w:rPr>
                <w:rFonts w:ascii="Arial" w:hAnsi="Arial" w:cs="Arial"/>
                <w:b/>
                <w:sz w:val="24"/>
                <w:szCs w:val="24"/>
              </w:rPr>
              <w:br/>
              <w:t>Net Income</w:t>
            </w:r>
            <w:r w:rsidRPr="00F25404">
              <w:rPr>
                <w:rFonts w:ascii="Arial" w:hAnsi="Arial" w:cs="Arial"/>
                <w:b/>
                <w:sz w:val="24"/>
                <w:szCs w:val="24"/>
              </w:rPr>
              <w:br/>
            </w:r>
          </w:p>
        </w:tc>
      </w:tr>
      <w:tr w:rsidR="00F25404" w:rsidRPr="00F25404" w:rsidTr="00F25404">
        <w:tc>
          <w:tcPr>
            <w:tcW w:w="588" w:type="pct"/>
          </w:tcPr>
          <w:p w:rsidR="00F25404" w:rsidRPr="00F25404" w:rsidRDefault="00F25404" w:rsidP="00287EE9">
            <w:pPr>
              <w:jc w:val="center"/>
              <w:rPr>
                <w:rFonts w:ascii="Arial" w:hAnsi="Arial" w:cs="Arial"/>
                <w:sz w:val="24"/>
                <w:szCs w:val="24"/>
              </w:rPr>
            </w:pPr>
            <w:r w:rsidRPr="00F25404">
              <w:rPr>
                <w:rFonts w:ascii="Arial" w:hAnsi="Arial" w:cs="Arial"/>
                <w:sz w:val="24"/>
                <w:szCs w:val="24"/>
              </w:rPr>
              <w:t>$85</w:t>
            </w:r>
          </w:p>
        </w:tc>
        <w:tc>
          <w:tcPr>
            <w:tcW w:w="985" w:type="pct"/>
          </w:tcPr>
          <w:p w:rsidR="00F25404" w:rsidRPr="00F25404" w:rsidRDefault="00F25404" w:rsidP="00287EE9">
            <w:pPr>
              <w:jc w:val="center"/>
              <w:rPr>
                <w:rFonts w:ascii="Arial" w:hAnsi="Arial" w:cs="Arial"/>
                <w:sz w:val="24"/>
                <w:szCs w:val="24"/>
              </w:rPr>
            </w:pPr>
          </w:p>
        </w:tc>
        <w:tc>
          <w:tcPr>
            <w:tcW w:w="880" w:type="pct"/>
          </w:tcPr>
          <w:p w:rsidR="00F25404" w:rsidRPr="00F25404" w:rsidRDefault="00F25404" w:rsidP="00287EE9">
            <w:pPr>
              <w:jc w:val="center"/>
              <w:rPr>
                <w:rFonts w:ascii="Arial" w:hAnsi="Arial" w:cs="Arial"/>
                <w:sz w:val="24"/>
                <w:szCs w:val="24"/>
              </w:rPr>
            </w:pPr>
            <w:r w:rsidRPr="00F25404">
              <w:rPr>
                <w:rFonts w:ascii="Arial" w:hAnsi="Arial" w:cs="Arial"/>
                <w:sz w:val="24"/>
                <w:szCs w:val="24"/>
              </w:rPr>
              <w:t>3,000</w:t>
            </w:r>
          </w:p>
        </w:tc>
        <w:tc>
          <w:tcPr>
            <w:tcW w:w="1115" w:type="pct"/>
          </w:tcPr>
          <w:p w:rsidR="00F25404" w:rsidRPr="00F25404" w:rsidRDefault="00F25404" w:rsidP="00287EE9">
            <w:pPr>
              <w:jc w:val="center"/>
              <w:rPr>
                <w:rFonts w:ascii="Arial" w:hAnsi="Arial" w:cs="Arial"/>
                <w:sz w:val="24"/>
                <w:szCs w:val="24"/>
              </w:rPr>
            </w:pPr>
            <w:r w:rsidRPr="00F25404">
              <w:rPr>
                <w:rFonts w:ascii="Arial" w:hAnsi="Arial" w:cs="Arial"/>
                <w:sz w:val="24"/>
                <w:szCs w:val="24"/>
              </w:rPr>
              <w:t>$180,000</w:t>
            </w:r>
          </w:p>
        </w:tc>
        <w:tc>
          <w:tcPr>
            <w:tcW w:w="711" w:type="pct"/>
          </w:tcPr>
          <w:p w:rsidR="00F25404" w:rsidRPr="00F25404" w:rsidRDefault="00F25404" w:rsidP="00287EE9">
            <w:pPr>
              <w:jc w:val="center"/>
              <w:rPr>
                <w:rFonts w:ascii="Arial" w:hAnsi="Arial" w:cs="Arial"/>
                <w:sz w:val="24"/>
                <w:szCs w:val="24"/>
              </w:rPr>
            </w:pPr>
          </w:p>
        </w:tc>
        <w:tc>
          <w:tcPr>
            <w:tcW w:w="722" w:type="pct"/>
          </w:tcPr>
          <w:p w:rsidR="00F25404" w:rsidRPr="00F25404" w:rsidRDefault="00F25404" w:rsidP="00287EE9">
            <w:pPr>
              <w:jc w:val="center"/>
              <w:rPr>
                <w:rFonts w:ascii="Arial" w:hAnsi="Arial" w:cs="Arial"/>
                <w:sz w:val="24"/>
                <w:szCs w:val="24"/>
              </w:rPr>
            </w:pPr>
            <w:r w:rsidRPr="00F25404">
              <w:rPr>
                <w:rFonts w:ascii="Arial" w:hAnsi="Arial" w:cs="Arial"/>
                <w:sz w:val="24"/>
                <w:szCs w:val="24"/>
              </w:rPr>
              <w:t>$80,000</w:t>
            </w:r>
          </w:p>
        </w:tc>
      </w:tr>
      <w:tr w:rsidR="00F25404" w:rsidRPr="00F25404" w:rsidTr="00F25404">
        <w:tc>
          <w:tcPr>
            <w:tcW w:w="588" w:type="pct"/>
          </w:tcPr>
          <w:p w:rsidR="00F25404" w:rsidRPr="00F25404" w:rsidRDefault="00F25404" w:rsidP="00287EE9">
            <w:pPr>
              <w:jc w:val="center"/>
              <w:rPr>
                <w:rFonts w:ascii="Arial" w:hAnsi="Arial" w:cs="Arial"/>
                <w:sz w:val="24"/>
                <w:szCs w:val="24"/>
              </w:rPr>
            </w:pPr>
            <w:r w:rsidRPr="00F25404">
              <w:rPr>
                <w:rFonts w:ascii="Arial" w:hAnsi="Arial" w:cs="Arial"/>
                <w:sz w:val="24"/>
                <w:szCs w:val="24"/>
              </w:rPr>
              <w:t>$70</w:t>
            </w:r>
          </w:p>
        </w:tc>
        <w:tc>
          <w:tcPr>
            <w:tcW w:w="985" w:type="pct"/>
          </w:tcPr>
          <w:p w:rsidR="00F25404" w:rsidRPr="00F25404" w:rsidRDefault="00F25404" w:rsidP="00287EE9">
            <w:pPr>
              <w:jc w:val="center"/>
              <w:rPr>
                <w:rFonts w:ascii="Arial" w:hAnsi="Arial" w:cs="Arial"/>
                <w:sz w:val="24"/>
                <w:szCs w:val="24"/>
              </w:rPr>
            </w:pPr>
            <w:r w:rsidRPr="00F25404">
              <w:rPr>
                <w:rFonts w:ascii="Arial" w:hAnsi="Arial" w:cs="Arial"/>
                <w:sz w:val="24"/>
                <w:szCs w:val="24"/>
              </w:rPr>
              <w:t>$20</w:t>
            </w:r>
          </w:p>
        </w:tc>
        <w:tc>
          <w:tcPr>
            <w:tcW w:w="880" w:type="pct"/>
          </w:tcPr>
          <w:p w:rsidR="00F25404" w:rsidRPr="00F25404" w:rsidRDefault="00F25404" w:rsidP="00287EE9">
            <w:pPr>
              <w:jc w:val="center"/>
              <w:rPr>
                <w:rFonts w:ascii="Arial" w:hAnsi="Arial" w:cs="Arial"/>
                <w:sz w:val="24"/>
                <w:szCs w:val="24"/>
              </w:rPr>
            </w:pPr>
          </w:p>
        </w:tc>
        <w:tc>
          <w:tcPr>
            <w:tcW w:w="1115" w:type="pct"/>
          </w:tcPr>
          <w:p w:rsidR="00F25404" w:rsidRPr="00F25404" w:rsidRDefault="00F25404" w:rsidP="00287EE9">
            <w:pPr>
              <w:jc w:val="center"/>
              <w:rPr>
                <w:rFonts w:ascii="Arial" w:hAnsi="Arial" w:cs="Arial"/>
                <w:sz w:val="24"/>
                <w:szCs w:val="24"/>
              </w:rPr>
            </w:pPr>
            <w:r w:rsidRPr="00F25404">
              <w:rPr>
                <w:rFonts w:ascii="Arial" w:hAnsi="Arial" w:cs="Arial"/>
                <w:sz w:val="24"/>
                <w:szCs w:val="24"/>
              </w:rPr>
              <w:t>$130,000</w:t>
            </w:r>
          </w:p>
        </w:tc>
        <w:tc>
          <w:tcPr>
            <w:tcW w:w="711" w:type="pct"/>
          </w:tcPr>
          <w:p w:rsidR="00F25404" w:rsidRPr="00F25404" w:rsidRDefault="00F25404" w:rsidP="00287EE9">
            <w:pPr>
              <w:jc w:val="center"/>
              <w:rPr>
                <w:rFonts w:ascii="Arial" w:hAnsi="Arial" w:cs="Arial"/>
                <w:sz w:val="24"/>
                <w:szCs w:val="24"/>
              </w:rPr>
            </w:pPr>
            <w:r w:rsidRPr="00F25404">
              <w:rPr>
                <w:rFonts w:ascii="Arial" w:hAnsi="Arial" w:cs="Arial"/>
                <w:sz w:val="24"/>
                <w:szCs w:val="24"/>
              </w:rPr>
              <w:t>$90,000</w:t>
            </w:r>
          </w:p>
        </w:tc>
        <w:tc>
          <w:tcPr>
            <w:tcW w:w="722" w:type="pct"/>
          </w:tcPr>
          <w:p w:rsidR="00F25404" w:rsidRPr="00F25404" w:rsidRDefault="00F25404" w:rsidP="00287EE9">
            <w:pPr>
              <w:jc w:val="center"/>
              <w:rPr>
                <w:rFonts w:ascii="Arial" w:hAnsi="Arial" w:cs="Arial"/>
                <w:sz w:val="24"/>
                <w:szCs w:val="24"/>
              </w:rPr>
            </w:pPr>
          </w:p>
        </w:tc>
      </w:tr>
      <w:tr w:rsidR="00F25404" w:rsidRPr="00F25404" w:rsidTr="00F25404">
        <w:tc>
          <w:tcPr>
            <w:tcW w:w="588" w:type="pct"/>
          </w:tcPr>
          <w:p w:rsidR="00F25404" w:rsidRPr="00F25404" w:rsidRDefault="00F25404" w:rsidP="00287EE9">
            <w:pPr>
              <w:jc w:val="center"/>
              <w:rPr>
                <w:rFonts w:ascii="Arial" w:hAnsi="Arial" w:cs="Arial"/>
                <w:sz w:val="24"/>
                <w:szCs w:val="24"/>
              </w:rPr>
            </w:pPr>
          </w:p>
        </w:tc>
        <w:tc>
          <w:tcPr>
            <w:tcW w:w="985" w:type="pct"/>
          </w:tcPr>
          <w:p w:rsidR="00F25404" w:rsidRPr="00F25404" w:rsidRDefault="00F25404" w:rsidP="00287EE9">
            <w:pPr>
              <w:jc w:val="center"/>
              <w:rPr>
                <w:rFonts w:ascii="Arial" w:hAnsi="Arial" w:cs="Arial"/>
                <w:sz w:val="24"/>
                <w:szCs w:val="24"/>
              </w:rPr>
            </w:pPr>
            <w:r w:rsidRPr="00F25404">
              <w:rPr>
                <w:rFonts w:ascii="Arial" w:hAnsi="Arial" w:cs="Arial"/>
                <w:sz w:val="24"/>
                <w:szCs w:val="24"/>
              </w:rPr>
              <w:t>$35</w:t>
            </w:r>
          </w:p>
        </w:tc>
        <w:tc>
          <w:tcPr>
            <w:tcW w:w="880" w:type="pct"/>
          </w:tcPr>
          <w:p w:rsidR="00F25404" w:rsidRPr="00F25404" w:rsidRDefault="00F25404" w:rsidP="00287EE9">
            <w:pPr>
              <w:jc w:val="center"/>
              <w:rPr>
                <w:rFonts w:ascii="Arial" w:hAnsi="Arial" w:cs="Arial"/>
                <w:sz w:val="24"/>
                <w:szCs w:val="24"/>
              </w:rPr>
            </w:pPr>
            <w:r w:rsidRPr="00F25404">
              <w:rPr>
                <w:rFonts w:ascii="Arial" w:hAnsi="Arial" w:cs="Arial"/>
                <w:sz w:val="24"/>
                <w:szCs w:val="24"/>
              </w:rPr>
              <w:t>3,250</w:t>
            </w:r>
          </w:p>
        </w:tc>
        <w:tc>
          <w:tcPr>
            <w:tcW w:w="1115" w:type="pct"/>
          </w:tcPr>
          <w:p w:rsidR="00F25404" w:rsidRPr="00F25404" w:rsidRDefault="00F25404" w:rsidP="00287EE9">
            <w:pPr>
              <w:jc w:val="center"/>
              <w:rPr>
                <w:rFonts w:ascii="Arial" w:hAnsi="Arial" w:cs="Arial"/>
                <w:sz w:val="24"/>
                <w:szCs w:val="24"/>
              </w:rPr>
            </w:pPr>
          </w:p>
        </w:tc>
        <w:tc>
          <w:tcPr>
            <w:tcW w:w="711" w:type="pct"/>
          </w:tcPr>
          <w:p w:rsidR="00F25404" w:rsidRPr="00F25404" w:rsidRDefault="00F25404" w:rsidP="00287EE9">
            <w:pPr>
              <w:jc w:val="center"/>
              <w:rPr>
                <w:rFonts w:ascii="Arial" w:hAnsi="Arial" w:cs="Arial"/>
                <w:sz w:val="24"/>
                <w:szCs w:val="24"/>
              </w:rPr>
            </w:pPr>
            <w:r w:rsidRPr="00F25404">
              <w:rPr>
                <w:rFonts w:ascii="Arial" w:hAnsi="Arial" w:cs="Arial"/>
                <w:sz w:val="24"/>
                <w:szCs w:val="24"/>
              </w:rPr>
              <w:t>$78,000</w:t>
            </w:r>
          </w:p>
        </w:tc>
        <w:tc>
          <w:tcPr>
            <w:tcW w:w="722" w:type="pct"/>
          </w:tcPr>
          <w:p w:rsidR="00F25404" w:rsidRPr="00F25404" w:rsidRDefault="00F25404" w:rsidP="00287EE9">
            <w:pPr>
              <w:jc w:val="center"/>
              <w:rPr>
                <w:rFonts w:ascii="Arial" w:hAnsi="Arial" w:cs="Arial"/>
                <w:sz w:val="24"/>
                <w:szCs w:val="24"/>
              </w:rPr>
            </w:pPr>
            <w:r w:rsidRPr="00F25404">
              <w:rPr>
                <w:rFonts w:ascii="Arial" w:hAnsi="Arial" w:cs="Arial"/>
                <w:sz w:val="24"/>
                <w:szCs w:val="24"/>
              </w:rPr>
              <w:t>$117,000</w:t>
            </w:r>
          </w:p>
        </w:tc>
      </w:tr>
      <w:tr w:rsidR="00F25404" w:rsidRPr="00F25404" w:rsidTr="00F25404">
        <w:tc>
          <w:tcPr>
            <w:tcW w:w="588" w:type="pct"/>
          </w:tcPr>
          <w:p w:rsidR="00F25404" w:rsidRPr="00F25404" w:rsidRDefault="00F25404" w:rsidP="00287EE9">
            <w:pPr>
              <w:jc w:val="center"/>
              <w:rPr>
                <w:rFonts w:ascii="Arial" w:hAnsi="Arial" w:cs="Arial"/>
                <w:sz w:val="24"/>
                <w:szCs w:val="24"/>
              </w:rPr>
            </w:pPr>
            <w:r w:rsidRPr="00F25404">
              <w:rPr>
                <w:rFonts w:ascii="Arial" w:hAnsi="Arial" w:cs="Arial"/>
                <w:sz w:val="24"/>
                <w:szCs w:val="24"/>
              </w:rPr>
              <w:t>$65</w:t>
            </w:r>
          </w:p>
        </w:tc>
        <w:tc>
          <w:tcPr>
            <w:tcW w:w="985" w:type="pct"/>
          </w:tcPr>
          <w:p w:rsidR="00F25404" w:rsidRPr="00F25404" w:rsidRDefault="00F25404" w:rsidP="00287EE9">
            <w:pPr>
              <w:jc w:val="center"/>
              <w:rPr>
                <w:rFonts w:ascii="Arial" w:hAnsi="Arial" w:cs="Arial"/>
                <w:sz w:val="24"/>
                <w:szCs w:val="24"/>
              </w:rPr>
            </w:pPr>
            <w:r w:rsidRPr="00F25404">
              <w:rPr>
                <w:rFonts w:ascii="Arial" w:hAnsi="Arial" w:cs="Arial"/>
                <w:sz w:val="24"/>
                <w:szCs w:val="24"/>
              </w:rPr>
              <w:t>$40</w:t>
            </w:r>
          </w:p>
        </w:tc>
        <w:tc>
          <w:tcPr>
            <w:tcW w:w="880" w:type="pct"/>
          </w:tcPr>
          <w:p w:rsidR="00F25404" w:rsidRPr="00F25404" w:rsidRDefault="00F25404" w:rsidP="00287EE9">
            <w:pPr>
              <w:jc w:val="center"/>
              <w:rPr>
                <w:rFonts w:ascii="Arial" w:hAnsi="Arial" w:cs="Arial"/>
                <w:sz w:val="24"/>
                <w:szCs w:val="24"/>
              </w:rPr>
            </w:pPr>
            <w:r w:rsidRPr="00F25404">
              <w:rPr>
                <w:rFonts w:ascii="Arial" w:hAnsi="Arial" w:cs="Arial"/>
                <w:sz w:val="24"/>
                <w:szCs w:val="24"/>
              </w:rPr>
              <w:t>2,000</w:t>
            </w:r>
          </w:p>
        </w:tc>
        <w:tc>
          <w:tcPr>
            <w:tcW w:w="1115" w:type="pct"/>
          </w:tcPr>
          <w:p w:rsidR="00F25404" w:rsidRPr="00F25404" w:rsidRDefault="00F25404" w:rsidP="00287EE9">
            <w:pPr>
              <w:jc w:val="center"/>
              <w:rPr>
                <w:rFonts w:ascii="Arial" w:hAnsi="Arial" w:cs="Arial"/>
                <w:sz w:val="24"/>
                <w:szCs w:val="24"/>
              </w:rPr>
            </w:pPr>
          </w:p>
        </w:tc>
        <w:tc>
          <w:tcPr>
            <w:tcW w:w="711" w:type="pct"/>
          </w:tcPr>
          <w:p w:rsidR="00F25404" w:rsidRPr="00F25404" w:rsidRDefault="00F25404" w:rsidP="00287EE9">
            <w:pPr>
              <w:jc w:val="center"/>
              <w:rPr>
                <w:rFonts w:ascii="Arial" w:hAnsi="Arial" w:cs="Arial"/>
                <w:sz w:val="24"/>
                <w:szCs w:val="24"/>
              </w:rPr>
            </w:pPr>
            <w:r w:rsidRPr="00F25404">
              <w:rPr>
                <w:rFonts w:ascii="Arial" w:hAnsi="Arial" w:cs="Arial"/>
                <w:sz w:val="24"/>
                <w:szCs w:val="24"/>
              </w:rPr>
              <w:t>$60,000</w:t>
            </w:r>
          </w:p>
        </w:tc>
        <w:tc>
          <w:tcPr>
            <w:tcW w:w="722" w:type="pct"/>
          </w:tcPr>
          <w:p w:rsidR="00F25404" w:rsidRPr="00F25404" w:rsidRDefault="00F25404" w:rsidP="00287EE9">
            <w:pPr>
              <w:jc w:val="center"/>
              <w:rPr>
                <w:rFonts w:ascii="Arial" w:hAnsi="Arial" w:cs="Arial"/>
                <w:sz w:val="24"/>
                <w:szCs w:val="24"/>
              </w:rPr>
            </w:pPr>
          </w:p>
        </w:tc>
      </w:tr>
    </w:tbl>
    <w:p w:rsidR="00F25404" w:rsidRPr="00F25404" w:rsidRDefault="00F25404" w:rsidP="00F25404">
      <w:pPr>
        <w:jc w:val="center"/>
        <w:rPr>
          <w:rFonts w:ascii="Arial" w:hAnsi="Arial" w:cs="Arial"/>
          <w:sz w:val="24"/>
          <w:szCs w:val="24"/>
        </w:rPr>
      </w:pPr>
    </w:p>
    <w:p w:rsidR="00436724" w:rsidRDefault="00436724" w:rsidP="00436724">
      <w:pPr>
        <w:rPr>
          <w:rFonts w:ascii="Arial" w:hAnsi="Arial" w:cs="Arial"/>
          <w:sz w:val="24"/>
          <w:szCs w:val="24"/>
        </w:rPr>
      </w:pPr>
    </w:p>
    <w:p w:rsidR="00436724" w:rsidRDefault="00436724" w:rsidP="00436724">
      <w:pPr>
        <w:rPr>
          <w:rFonts w:ascii="Arial" w:hAnsi="Arial" w:cs="Arial"/>
          <w:sz w:val="24"/>
          <w:szCs w:val="24"/>
        </w:rPr>
      </w:pPr>
    </w:p>
    <w:p w:rsidR="00436724" w:rsidRPr="009967E1" w:rsidRDefault="00436724" w:rsidP="00F25404">
      <w:pPr>
        <w:pStyle w:val="ListParagraph"/>
        <w:rPr>
          <w:rFonts w:ascii="Arial" w:hAnsi="Arial" w:cs="Arial"/>
          <w:sz w:val="24"/>
          <w:szCs w:val="24"/>
        </w:rPr>
      </w:pPr>
    </w:p>
    <w:p w:rsidR="00436724" w:rsidRDefault="00436724" w:rsidP="00436724"/>
    <w:p w:rsidR="000D47E6" w:rsidRDefault="000D47E6" w:rsidP="00436724"/>
    <w:sectPr w:rsidR="000D47E6" w:rsidSect="00B119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E968C2"/>
    <w:multiLevelType w:val="hybridMultilevel"/>
    <w:tmpl w:val="0CD20FE6"/>
    <w:lvl w:ilvl="0" w:tplc="38A477B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6724"/>
    <w:rsid w:val="000D47E6"/>
    <w:rsid w:val="00436724"/>
    <w:rsid w:val="008E10BA"/>
    <w:rsid w:val="00E81421"/>
    <w:rsid w:val="00F254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724"/>
    <w:pPr>
      <w:ind w:left="720"/>
      <w:contextualSpacing/>
    </w:pPr>
  </w:style>
  <w:style w:type="character" w:customStyle="1" w:styleId="st">
    <w:name w:val="st"/>
    <w:basedOn w:val="DefaultParagraphFont"/>
    <w:rsid w:val="00436724"/>
  </w:style>
  <w:style w:type="character" w:styleId="Emphasis">
    <w:name w:val="Emphasis"/>
    <w:basedOn w:val="DefaultParagraphFont"/>
    <w:uiPriority w:val="20"/>
    <w:qFormat/>
    <w:rsid w:val="00436724"/>
    <w:rPr>
      <w:i/>
      <w:iCs/>
    </w:rPr>
  </w:style>
  <w:style w:type="table" w:styleId="TableGrid">
    <w:name w:val="Table Grid"/>
    <w:basedOn w:val="TableNormal"/>
    <w:uiPriority w:val="59"/>
    <w:rsid w:val="00F25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304</Words>
  <Characters>1734</Characters>
  <Application>Microsoft Office Word</Application>
  <DocSecurity>0</DocSecurity>
  <Lines>14</Lines>
  <Paragraphs>4</Paragraphs>
  <ScaleCrop>false</ScaleCrop>
  <Company>Toshiba</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2013-08-14T23:38:00Z</dcterms:created>
  <dcterms:modified xsi:type="dcterms:W3CDTF">2013-08-16T00:53:00Z</dcterms:modified>
</cp:coreProperties>
</file>