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D60" w:rsidP="00C44D60">
      <w:pPr>
        <w:bidi w:val="0"/>
        <w:jc w:val="right"/>
      </w:pPr>
      <w:r w:rsidRPr="00C44D60">
        <w:t>ASSIGNMENT – BMAC5203</w:t>
      </w:r>
    </w:p>
    <w:tbl>
      <w:tblPr>
        <w:tblStyle w:val="a4"/>
        <w:tblW w:w="10065" w:type="dxa"/>
        <w:tblInd w:w="-885" w:type="dxa"/>
        <w:tblLook w:val="04A0"/>
      </w:tblPr>
      <w:tblGrid>
        <w:gridCol w:w="1809"/>
        <w:gridCol w:w="8256"/>
      </w:tblGrid>
      <w:tr w:rsidR="00804843" w:rsidTr="00B040AC">
        <w:tc>
          <w:tcPr>
            <w:tcW w:w="1809" w:type="dxa"/>
          </w:tcPr>
          <w:p w:rsidR="00804843" w:rsidRPr="00804843" w:rsidRDefault="00804843" w:rsidP="00AE097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4843">
              <w:rPr>
                <w:rFonts w:asciiTheme="majorBidi" w:hAnsiTheme="majorBidi" w:cstheme="majorBidi"/>
                <w:sz w:val="24"/>
                <w:szCs w:val="24"/>
              </w:rPr>
              <w:t xml:space="preserve">TASK </w:t>
            </w:r>
            <w:r w:rsidR="00AE097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256" w:type="dxa"/>
          </w:tcPr>
          <w:p w:rsidR="00804843" w:rsidRPr="0018520E" w:rsidRDefault="0018520E" w:rsidP="001852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</w:t>
            </w:r>
            <w:r w:rsidR="00117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budgets </w:t>
            </w:r>
          </w:p>
        </w:tc>
      </w:tr>
      <w:tr w:rsidR="00804843" w:rsidTr="00B040AC">
        <w:tc>
          <w:tcPr>
            <w:tcW w:w="1809" w:type="dxa"/>
          </w:tcPr>
          <w:p w:rsidR="00804843" w:rsidRDefault="00804843" w:rsidP="0080484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04843" w:rsidRDefault="00804843" w:rsidP="008048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Objectives </w:t>
            </w:r>
          </w:p>
          <w:p w:rsidR="00804843" w:rsidRDefault="00804843" w:rsidP="0080484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56" w:type="dxa"/>
          </w:tcPr>
          <w:p w:rsidR="00804843" w:rsidRPr="0018520E" w:rsidRDefault="0018520E" w:rsidP="00723135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18520E">
              <w:rPr>
                <w:rFonts w:asciiTheme="majorBidi" w:hAnsiTheme="majorBidi" w:cstheme="majorBidi"/>
              </w:rPr>
              <w:t xml:space="preserve">To be able to compute the revenue and cost variances and interpret whether the variances signal </w:t>
            </w:r>
            <w:proofErr w:type="spellStart"/>
            <w:r w:rsidRPr="0018520E">
              <w:rPr>
                <w:rFonts w:asciiTheme="majorBidi" w:hAnsiTheme="majorBidi" w:cstheme="majorBidi"/>
              </w:rPr>
              <w:t>favourable</w:t>
            </w:r>
            <w:proofErr w:type="spellEnd"/>
            <w:r w:rsidRPr="0018520E">
              <w:rPr>
                <w:rFonts w:asciiTheme="majorBidi" w:hAnsiTheme="majorBidi" w:cstheme="majorBidi"/>
              </w:rPr>
              <w:t xml:space="preserve"> or </w:t>
            </w:r>
            <w:proofErr w:type="spellStart"/>
            <w:r w:rsidRPr="0018520E">
              <w:rPr>
                <w:rFonts w:asciiTheme="majorBidi" w:hAnsiTheme="majorBidi" w:cstheme="majorBidi"/>
              </w:rPr>
              <w:t>unfavourable</w:t>
            </w:r>
            <w:proofErr w:type="spellEnd"/>
            <w:r w:rsidRPr="0018520E">
              <w:rPr>
                <w:rFonts w:asciiTheme="majorBidi" w:hAnsiTheme="majorBidi" w:cstheme="majorBidi"/>
              </w:rPr>
              <w:t xml:space="preserve"> performance. </w:t>
            </w:r>
          </w:p>
        </w:tc>
      </w:tr>
    </w:tbl>
    <w:p w:rsidR="0051033E" w:rsidRDefault="0051033E" w:rsidP="0051033E">
      <w:pPr>
        <w:pStyle w:val="Default"/>
      </w:pPr>
    </w:p>
    <w:p w:rsidR="00985CB9" w:rsidRDefault="00C43234" w:rsidP="00504BDB">
      <w:pPr>
        <w:pStyle w:val="Default"/>
        <w:spacing w:line="360" w:lineRule="auto"/>
        <w:ind w:left="-993"/>
        <w:rPr>
          <w:rFonts w:asciiTheme="majorBidi" w:hAnsiTheme="majorBidi" w:cstheme="majorBidi"/>
        </w:rPr>
      </w:pPr>
      <w:proofErr w:type="spellStart"/>
      <w:r w:rsidRPr="00C43234">
        <w:rPr>
          <w:rFonts w:asciiTheme="majorBidi" w:hAnsiTheme="majorBidi" w:cstheme="majorBidi"/>
        </w:rPr>
        <w:t>Mr</w:t>
      </w:r>
      <w:proofErr w:type="spellEnd"/>
      <w:r w:rsidRPr="00C43234">
        <w:rPr>
          <w:rFonts w:asciiTheme="majorBidi" w:hAnsiTheme="majorBidi" w:cstheme="majorBidi"/>
        </w:rPr>
        <w:t xml:space="preserve"> Doctor is the brand name of a therapeutic pillow produced by the </w:t>
      </w:r>
      <w:proofErr w:type="spellStart"/>
      <w:r w:rsidRPr="00C43234">
        <w:rPr>
          <w:rFonts w:asciiTheme="majorBidi" w:hAnsiTheme="majorBidi" w:cstheme="majorBidi"/>
        </w:rPr>
        <w:t>Streussles</w:t>
      </w:r>
      <w:proofErr w:type="spellEnd"/>
      <w:r w:rsidRPr="00C43234">
        <w:rPr>
          <w:rFonts w:asciiTheme="majorBidi" w:hAnsiTheme="majorBidi" w:cstheme="majorBidi"/>
        </w:rPr>
        <w:t xml:space="preserve"> Company. </w:t>
      </w:r>
    </w:p>
    <w:p w:rsidR="00F60490" w:rsidRDefault="00C43234" w:rsidP="00504BDB">
      <w:pPr>
        <w:pStyle w:val="Default"/>
        <w:spacing w:line="360" w:lineRule="auto"/>
        <w:ind w:left="-993"/>
        <w:rPr>
          <w:rFonts w:asciiTheme="majorBidi" w:hAnsiTheme="majorBidi" w:cstheme="majorBidi"/>
        </w:rPr>
      </w:pPr>
      <w:r w:rsidRPr="00C43234">
        <w:rPr>
          <w:rFonts w:asciiTheme="majorBidi" w:hAnsiTheme="majorBidi" w:cstheme="majorBidi"/>
        </w:rPr>
        <w:t>For 2013, the operating budget is based on an estimated sale of 20,000 units at RM100 per pillow.</w:t>
      </w:r>
    </w:p>
    <w:p w:rsidR="00C43234" w:rsidRPr="00C43234" w:rsidRDefault="00C43234" w:rsidP="00504BDB">
      <w:pPr>
        <w:pStyle w:val="Default"/>
        <w:spacing w:line="360" w:lineRule="auto"/>
        <w:ind w:left="-993"/>
        <w:rPr>
          <w:rFonts w:asciiTheme="majorBidi" w:hAnsiTheme="majorBidi" w:cstheme="majorBidi"/>
          <w:sz w:val="28"/>
          <w:szCs w:val="28"/>
        </w:rPr>
      </w:pPr>
      <w:r w:rsidRPr="00C43234">
        <w:rPr>
          <w:rFonts w:asciiTheme="majorBidi" w:hAnsiTheme="majorBidi" w:cstheme="majorBidi"/>
        </w:rPr>
        <w:t xml:space="preserve"> Additional information pertaining to its budget is as follows:</w:t>
      </w:r>
    </w:p>
    <w:tbl>
      <w:tblPr>
        <w:tblStyle w:val="a4"/>
        <w:tblpPr w:leftFromText="180" w:rightFromText="180" w:vertAnchor="text" w:horzAnchor="margin" w:tblpXSpec="center" w:tblpY="303"/>
        <w:bidiVisual/>
        <w:tblW w:w="0" w:type="auto"/>
        <w:tblLayout w:type="fixed"/>
        <w:tblLook w:val="0000"/>
      </w:tblPr>
      <w:tblGrid>
        <w:gridCol w:w="3083"/>
        <w:gridCol w:w="2304"/>
      </w:tblGrid>
      <w:tr w:rsidR="000A3309" w:rsidTr="000A3309">
        <w:trPr>
          <w:trHeight w:val="103"/>
        </w:trPr>
        <w:tc>
          <w:tcPr>
            <w:tcW w:w="3083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Operating income anticipated</w:t>
            </w:r>
          </w:p>
        </w:tc>
        <w:tc>
          <w:tcPr>
            <w:tcW w:w="2304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RM</w:t>
            </w:r>
            <w:r w:rsidR="009E4009">
              <w:rPr>
                <w:rFonts w:asciiTheme="majorBidi" w:hAnsiTheme="majorBidi" w:cstheme="majorBidi"/>
              </w:rPr>
              <w:t xml:space="preserve"> </w:t>
            </w:r>
            <w:r w:rsidRPr="000A3309">
              <w:rPr>
                <w:rFonts w:asciiTheme="majorBidi" w:hAnsiTheme="majorBidi" w:cstheme="majorBidi"/>
              </w:rPr>
              <w:t>120,000</w:t>
            </w:r>
          </w:p>
        </w:tc>
      </w:tr>
      <w:tr w:rsidR="000A3309" w:rsidTr="000A3309">
        <w:trPr>
          <w:trHeight w:val="103"/>
        </w:trPr>
        <w:tc>
          <w:tcPr>
            <w:tcW w:w="3083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Budgeted variable costs</w:t>
            </w:r>
          </w:p>
        </w:tc>
        <w:tc>
          <w:tcPr>
            <w:tcW w:w="2304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RM</w:t>
            </w:r>
            <w:r w:rsidR="009E4009">
              <w:rPr>
                <w:rFonts w:asciiTheme="majorBidi" w:hAnsiTheme="majorBidi" w:cstheme="majorBidi"/>
              </w:rPr>
              <w:t xml:space="preserve"> </w:t>
            </w:r>
            <w:r w:rsidRPr="000A3309">
              <w:rPr>
                <w:rFonts w:asciiTheme="majorBidi" w:hAnsiTheme="majorBidi" w:cstheme="majorBidi"/>
              </w:rPr>
              <w:t>64 per unit</w:t>
            </w:r>
          </w:p>
        </w:tc>
      </w:tr>
      <w:tr w:rsidR="000A3309" w:rsidTr="000A3309">
        <w:trPr>
          <w:trHeight w:val="103"/>
        </w:trPr>
        <w:tc>
          <w:tcPr>
            <w:tcW w:w="3083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Total fixed costs</w:t>
            </w:r>
          </w:p>
        </w:tc>
        <w:tc>
          <w:tcPr>
            <w:tcW w:w="2304" w:type="dxa"/>
          </w:tcPr>
          <w:p w:rsidR="000A3309" w:rsidRPr="000A3309" w:rsidRDefault="000A3309" w:rsidP="009E4009">
            <w:pPr>
              <w:pStyle w:val="Default"/>
              <w:spacing w:line="360" w:lineRule="auto"/>
              <w:rPr>
                <w:rFonts w:asciiTheme="majorBidi" w:hAnsiTheme="majorBidi" w:cstheme="majorBidi"/>
              </w:rPr>
            </w:pPr>
            <w:r w:rsidRPr="000A3309">
              <w:rPr>
                <w:rFonts w:asciiTheme="majorBidi" w:hAnsiTheme="majorBidi" w:cstheme="majorBidi"/>
              </w:rPr>
              <w:t>RM</w:t>
            </w:r>
            <w:r w:rsidR="009E4009">
              <w:rPr>
                <w:rFonts w:asciiTheme="majorBidi" w:hAnsiTheme="majorBidi" w:cstheme="majorBidi"/>
              </w:rPr>
              <w:t xml:space="preserve"> </w:t>
            </w:r>
            <w:r w:rsidRPr="000A3309">
              <w:rPr>
                <w:rFonts w:asciiTheme="majorBidi" w:hAnsiTheme="majorBidi" w:cstheme="majorBidi"/>
              </w:rPr>
              <w:t>600,000</w:t>
            </w:r>
          </w:p>
        </w:tc>
      </w:tr>
    </w:tbl>
    <w:p w:rsidR="00AD3D1F" w:rsidRDefault="00AD3D1F" w:rsidP="000A3309">
      <w:pPr>
        <w:bidi w:val="0"/>
        <w:jc w:val="center"/>
        <w:rPr>
          <w:rFonts w:hint="cs"/>
          <w:rtl/>
        </w:rPr>
      </w:pPr>
    </w:p>
    <w:p w:rsidR="00C44D60" w:rsidRDefault="00C44D60" w:rsidP="000A3309">
      <w:pPr>
        <w:bidi w:val="0"/>
        <w:rPr>
          <w:sz w:val="18"/>
          <w:szCs w:val="18"/>
        </w:rPr>
      </w:pPr>
    </w:p>
    <w:p w:rsidR="00BE3D85" w:rsidRDefault="00BE3D85" w:rsidP="00BE3D85">
      <w:pPr>
        <w:bidi w:val="0"/>
        <w:rPr>
          <w:sz w:val="18"/>
          <w:szCs w:val="18"/>
        </w:rPr>
      </w:pPr>
    </w:p>
    <w:p w:rsidR="00BE3D85" w:rsidRDefault="00BE3D85" w:rsidP="00BE3D85">
      <w:pPr>
        <w:bidi w:val="0"/>
        <w:rPr>
          <w:sz w:val="18"/>
          <w:szCs w:val="18"/>
        </w:rPr>
      </w:pPr>
    </w:p>
    <w:p w:rsidR="00BE3D85" w:rsidRDefault="0076323F" w:rsidP="0076323F">
      <w:pPr>
        <w:bidi w:val="0"/>
        <w:spacing w:line="360" w:lineRule="auto"/>
        <w:ind w:left="-1276" w:right="-383"/>
        <w:rPr>
          <w:rFonts w:asciiTheme="majorBidi" w:hAnsiTheme="majorBidi" w:cstheme="majorBidi"/>
          <w:sz w:val="24"/>
          <w:szCs w:val="24"/>
        </w:rPr>
      </w:pPr>
      <w:r w:rsidRPr="0076323F">
        <w:rPr>
          <w:rFonts w:asciiTheme="majorBidi" w:hAnsiTheme="majorBidi" w:cstheme="majorBidi"/>
          <w:sz w:val="24"/>
          <w:szCs w:val="24"/>
        </w:rPr>
        <w:t>Actual income for 2013 was a surprising RM354,000 on actual sales of 21,000 units of pillow at RM104 each. Actual variable costs were RM60 per unit and fixed costs totaledRM570,000.</w:t>
      </w:r>
    </w:p>
    <w:p w:rsidR="004F7819" w:rsidRDefault="00F77297" w:rsidP="004F7819">
      <w:pPr>
        <w:bidi w:val="0"/>
        <w:spacing w:line="360" w:lineRule="auto"/>
        <w:ind w:left="-1276" w:right="-383"/>
        <w:rPr>
          <w:rFonts w:asciiTheme="majorBidi" w:hAnsiTheme="majorBidi" w:cstheme="majorBidi"/>
          <w:sz w:val="20"/>
          <w:szCs w:val="20"/>
        </w:rPr>
      </w:pPr>
      <w:r>
        <w:rPr>
          <w:b/>
          <w:bCs/>
        </w:rPr>
        <w:t>Required:</w:t>
      </w:r>
    </w:p>
    <w:p w:rsidR="00F77297" w:rsidRPr="00F77297" w:rsidRDefault="00F77297" w:rsidP="00F77297">
      <w:pPr>
        <w:pStyle w:val="Default"/>
        <w:spacing w:after="142" w:line="360" w:lineRule="auto"/>
        <w:ind w:left="-1276" w:right="-524"/>
        <w:rPr>
          <w:rFonts w:asciiTheme="majorBidi" w:hAnsiTheme="majorBidi" w:cstheme="majorBidi"/>
        </w:rPr>
      </w:pPr>
      <w:r w:rsidRPr="00F77297">
        <w:rPr>
          <w:rFonts w:asciiTheme="majorBidi" w:hAnsiTheme="majorBidi" w:cstheme="majorBidi"/>
        </w:rPr>
        <w:t xml:space="preserve">a) Prepare a variance analysis report showing the flexible-budget variance. </w:t>
      </w:r>
    </w:p>
    <w:p w:rsidR="00F77297" w:rsidRPr="00F77297" w:rsidRDefault="00F77297" w:rsidP="00F77297">
      <w:pPr>
        <w:pStyle w:val="Default"/>
        <w:spacing w:after="142" w:line="360" w:lineRule="auto"/>
        <w:ind w:left="-1276" w:right="-524"/>
        <w:rPr>
          <w:rFonts w:asciiTheme="majorBidi" w:hAnsiTheme="majorBidi" w:cstheme="majorBidi"/>
        </w:rPr>
      </w:pPr>
      <w:r w:rsidRPr="00F77297">
        <w:rPr>
          <w:rFonts w:asciiTheme="majorBidi" w:hAnsiTheme="majorBidi" w:cstheme="majorBidi"/>
        </w:rPr>
        <w:t xml:space="preserve">b) Prepare a variance analysis report showing the sales-volume variance. </w:t>
      </w:r>
    </w:p>
    <w:p w:rsidR="00F77297" w:rsidRPr="00F77297" w:rsidRDefault="00F77297" w:rsidP="00F77297">
      <w:pPr>
        <w:pStyle w:val="Default"/>
        <w:spacing w:line="360" w:lineRule="auto"/>
        <w:ind w:left="-1276" w:right="-524"/>
        <w:rPr>
          <w:rFonts w:asciiTheme="majorBidi" w:hAnsiTheme="majorBidi" w:cstheme="majorBidi"/>
        </w:rPr>
      </w:pPr>
      <w:r w:rsidRPr="00F77297">
        <w:rPr>
          <w:rFonts w:asciiTheme="majorBidi" w:hAnsiTheme="majorBidi" w:cstheme="majorBidi"/>
        </w:rPr>
        <w:t xml:space="preserve">c) Describe four factors that should be considered in establishing standards for use with a standard costing system. </w:t>
      </w:r>
    </w:p>
    <w:p w:rsidR="00F77297" w:rsidRPr="0076323F" w:rsidRDefault="00F77297" w:rsidP="00F77297">
      <w:pPr>
        <w:bidi w:val="0"/>
        <w:spacing w:line="360" w:lineRule="auto"/>
        <w:ind w:left="-1276" w:right="-383"/>
        <w:rPr>
          <w:rFonts w:asciiTheme="majorBidi" w:hAnsiTheme="majorBidi" w:cstheme="majorBidi"/>
          <w:sz w:val="20"/>
          <w:szCs w:val="20"/>
        </w:rPr>
      </w:pPr>
    </w:p>
    <w:sectPr w:rsidR="00F77297" w:rsidRPr="0076323F" w:rsidSect="00F7729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C49E7"/>
    <w:rsid w:val="000A3309"/>
    <w:rsid w:val="000B678B"/>
    <w:rsid w:val="000D365E"/>
    <w:rsid w:val="00113409"/>
    <w:rsid w:val="001176F4"/>
    <w:rsid w:val="0018520E"/>
    <w:rsid w:val="00204C94"/>
    <w:rsid w:val="003C49E7"/>
    <w:rsid w:val="004D42E4"/>
    <w:rsid w:val="004E62C1"/>
    <w:rsid w:val="004F7819"/>
    <w:rsid w:val="00504BDB"/>
    <w:rsid w:val="0051033E"/>
    <w:rsid w:val="0058428F"/>
    <w:rsid w:val="005E224C"/>
    <w:rsid w:val="00723135"/>
    <w:rsid w:val="0076323F"/>
    <w:rsid w:val="007F6FA9"/>
    <w:rsid w:val="00804843"/>
    <w:rsid w:val="00964835"/>
    <w:rsid w:val="00985CB9"/>
    <w:rsid w:val="009E4009"/>
    <w:rsid w:val="00AD3D1F"/>
    <w:rsid w:val="00AE0972"/>
    <w:rsid w:val="00B040AC"/>
    <w:rsid w:val="00BE3D85"/>
    <w:rsid w:val="00C06725"/>
    <w:rsid w:val="00C43234"/>
    <w:rsid w:val="00C44D60"/>
    <w:rsid w:val="00DA583B"/>
    <w:rsid w:val="00F60490"/>
    <w:rsid w:val="00F7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3D1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04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39</cp:revision>
  <dcterms:created xsi:type="dcterms:W3CDTF">2013-07-30T18:16:00Z</dcterms:created>
  <dcterms:modified xsi:type="dcterms:W3CDTF">2013-07-30T19:27:00Z</dcterms:modified>
</cp:coreProperties>
</file>