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Pr="00B15A2A" w:rsidRDefault="00B15A2A" w:rsidP="00B15A2A">
      <w:pPr>
        <w:pStyle w:val="CM9"/>
        <w:spacing w:after="272" w:line="276" w:lineRule="atLeast"/>
        <w:jc w:val="center"/>
      </w:pPr>
      <w:r w:rsidRPr="00B15A2A">
        <w:t>Chemistry 3211</w:t>
      </w:r>
    </w:p>
    <w:p w:rsidR="00B15A2A" w:rsidRDefault="00B15A2A" w:rsidP="00B15A2A">
      <w:pPr>
        <w:jc w:val="center"/>
      </w:pPr>
      <w:r>
        <w:t>Experiment #</w:t>
      </w:r>
      <w:r w:rsidR="00B43EA9">
        <w:t>5</w:t>
      </w:r>
    </w:p>
    <w:p w:rsidR="00B43EA9" w:rsidRDefault="00B43EA9" w:rsidP="00B43EA9">
      <w:pPr>
        <w:jc w:val="center"/>
      </w:pPr>
      <w:r>
        <w:t>The Simultaneous Determination of Chloride and Bromide Ions</w:t>
      </w:r>
    </w:p>
    <w:p w:rsidR="00B43EA9" w:rsidRDefault="00B43EA9" w:rsidP="00B43EA9">
      <w:pPr>
        <w:jc w:val="center"/>
      </w:pPr>
      <w:r>
        <w:t>Using Fluorescence Quenching</w:t>
      </w:r>
    </w:p>
    <w:p w:rsidR="00B15A2A" w:rsidRPr="00B15A2A" w:rsidRDefault="007A2E8C" w:rsidP="00B15A2A">
      <w:pPr>
        <w:jc w:val="center"/>
      </w:pPr>
      <w:r>
        <w:t>1</w:t>
      </w:r>
      <w:r w:rsidR="00B43EA9">
        <w:t>8</w:t>
      </w:r>
      <w:r>
        <w:t xml:space="preserve"> June </w:t>
      </w:r>
      <w:r w:rsidR="00B15A2A">
        <w:t>2013</w:t>
      </w: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3007ED" w:rsidRPr="003007ED" w:rsidRDefault="003007ED" w:rsidP="003007ED"/>
    <w:p w:rsidR="00B15A2A" w:rsidRDefault="00B15A2A" w:rsidP="002F0EAB">
      <w:pPr>
        <w:pStyle w:val="CM9"/>
        <w:spacing w:after="272" w:line="276" w:lineRule="atLeast"/>
        <w:rPr>
          <w:b/>
          <w:u w:val="single"/>
        </w:rPr>
      </w:pPr>
    </w:p>
    <w:p w:rsidR="00B15A2A" w:rsidRDefault="00B15A2A" w:rsidP="002F0EAB">
      <w:pPr>
        <w:pStyle w:val="CM9"/>
        <w:spacing w:after="272" w:line="276" w:lineRule="atLeast"/>
        <w:rPr>
          <w:b/>
          <w:u w:val="single"/>
        </w:rPr>
      </w:pPr>
    </w:p>
    <w:p w:rsidR="00712B66" w:rsidRDefault="00B15A2A" w:rsidP="002F0EAB">
      <w:pPr>
        <w:pStyle w:val="CM9"/>
        <w:spacing w:after="272" w:line="276" w:lineRule="atLeast"/>
        <w:rPr>
          <w:b/>
          <w:u w:val="single"/>
        </w:rPr>
      </w:pPr>
      <w:r>
        <w:rPr>
          <w:b/>
          <w:u w:val="single"/>
        </w:rPr>
        <w:t>A</w:t>
      </w:r>
      <w:r w:rsidR="00712B66">
        <w:rPr>
          <w:b/>
          <w:u w:val="single"/>
        </w:rPr>
        <w:t>BSTRACT</w:t>
      </w:r>
    </w:p>
    <w:p w:rsidR="00B43EA9" w:rsidRDefault="00C60F4F" w:rsidP="00DB520D">
      <w:pPr>
        <w:spacing w:after="0" w:line="480" w:lineRule="auto"/>
        <w:contextualSpacing/>
      </w:pPr>
      <w:r>
        <w:lastRenderedPageBreak/>
        <w:t xml:space="preserve">  </w:t>
      </w:r>
      <w:r w:rsidR="0083497E">
        <w:t xml:space="preserve">   </w:t>
      </w:r>
      <w:r>
        <w:t>T</w:t>
      </w:r>
      <w:r w:rsidRPr="00C60F4F">
        <w:t xml:space="preserve">he fluorescence quenching method </w:t>
      </w:r>
      <w:r>
        <w:t xml:space="preserve">was used </w:t>
      </w:r>
      <w:r w:rsidRPr="00C60F4F">
        <w:t xml:space="preserve">to analyze </w:t>
      </w:r>
      <w:r>
        <w:t>an unknown</w:t>
      </w:r>
      <w:r w:rsidRPr="00C60F4F">
        <w:t xml:space="preserve"> sample </w:t>
      </w:r>
      <w:r>
        <w:t xml:space="preserve">using fluorescent indicators quinine and </w:t>
      </w:r>
      <w:proofErr w:type="spellStart"/>
      <w:r>
        <w:t>acrdine</w:t>
      </w:r>
      <w:proofErr w:type="spellEnd"/>
      <w:r>
        <w:t xml:space="preserve"> </w:t>
      </w:r>
      <w:r w:rsidRPr="00C60F4F">
        <w:t xml:space="preserve">to determine the weight percentages of </w:t>
      </w:r>
      <w:proofErr w:type="spellStart"/>
      <w:r w:rsidRPr="00C60F4F">
        <w:t>NaCl</w:t>
      </w:r>
      <w:proofErr w:type="spellEnd"/>
      <w:r w:rsidRPr="00C60F4F">
        <w:t xml:space="preserve"> and </w:t>
      </w:r>
      <w:proofErr w:type="spellStart"/>
      <w:r w:rsidRPr="00C60F4F">
        <w:t>KBr</w:t>
      </w:r>
      <w:proofErr w:type="spellEnd"/>
      <w:r w:rsidRPr="00C60F4F">
        <w:t xml:space="preserve">. </w:t>
      </w:r>
    </w:p>
    <w:p w:rsidR="00B43EA9" w:rsidRDefault="00B43EA9" w:rsidP="00DB520D">
      <w:pPr>
        <w:spacing w:after="0" w:line="480" w:lineRule="auto"/>
        <w:contextualSpacing/>
      </w:pPr>
    </w:p>
    <w:p w:rsidR="00615FE6" w:rsidRDefault="005B3230" w:rsidP="00B43EA9">
      <w:pPr>
        <w:spacing w:after="0" w:line="480" w:lineRule="auto"/>
        <w:contextualSpacing/>
        <w:rPr>
          <w:b/>
          <w:u w:val="single"/>
        </w:rPr>
      </w:pPr>
      <w:r>
        <w:rPr>
          <w:b/>
          <w:u w:val="single"/>
        </w:rPr>
        <w:t>I</w:t>
      </w:r>
      <w:r w:rsidR="00615FE6">
        <w:rPr>
          <w:b/>
          <w:u w:val="single"/>
        </w:rPr>
        <w:t>NTRODUCTION</w:t>
      </w:r>
      <w:r w:rsidR="00B365BA">
        <w:rPr>
          <w:b/>
          <w:u w:val="single"/>
        </w:rPr>
        <w:t xml:space="preserve"> </w:t>
      </w:r>
    </w:p>
    <w:p w:rsidR="00B43EA9" w:rsidRDefault="00B43EA9" w:rsidP="007A2E8C">
      <w:pPr>
        <w:spacing w:after="0" w:line="480" w:lineRule="auto"/>
        <w:contextualSpacing/>
      </w:pPr>
      <w:r>
        <w:t xml:space="preserve">      The composition of a multi-component mixture was determined by developing a spectrophotometric assay.  Also, the quenching of quinine by sodium chloride (</w:t>
      </w:r>
      <w:proofErr w:type="spellStart"/>
      <w:r>
        <w:t>NaCl</w:t>
      </w:r>
      <w:proofErr w:type="spellEnd"/>
      <w:r>
        <w:t>) and potassium bromide (</w:t>
      </w:r>
      <w:proofErr w:type="spellStart"/>
      <w:r>
        <w:t>KBr</w:t>
      </w:r>
      <w:proofErr w:type="spellEnd"/>
      <w:r>
        <w:t>) was analyzed and Stern-</w:t>
      </w:r>
      <w:proofErr w:type="spellStart"/>
      <w:r>
        <w:t>Volmer</w:t>
      </w:r>
      <w:proofErr w:type="spellEnd"/>
      <w:r>
        <w:t xml:space="preserve"> plots were constructed for chloride and bromide ions for quinine and </w:t>
      </w:r>
      <w:proofErr w:type="spellStart"/>
      <w:r>
        <w:t>acridine</w:t>
      </w:r>
      <w:proofErr w:type="spellEnd"/>
      <w:r>
        <w:t xml:space="preserve">.  Basic </w:t>
      </w:r>
      <w:proofErr w:type="spellStart"/>
      <w:r>
        <w:t>fluorimetry</w:t>
      </w:r>
      <w:proofErr w:type="spellEnd"/>
      <w:r>
        <w:t xml:space="preserve"> concepts and instrumentation was demonstrated for familiarization.  </w:t>
      </w:r>
    </w:p>
    <w:p w:rsidR="00B43EA9" w:rsidRDefault="00626AEC" w:rsidP="00680866">
      <w:pPr>
        <w:spacing w:after="0" w:line="480" w:lineRule="auto"/>
        <w:contextualSpacing/>
      </w:pPr>
      <w:r>
        <w:t xml:space="preserve">    </w:t>
      </w:r>
      <w:r w:rsidR="00B43EA9">
        <w:t xml:space="preserve"> </w:t>
      </w:r>
      <w:r>
        <w:t xml:space="preserve">Fluorescence quenching has a wide application in biochemistry as a means to study proteins and membranes.  It is used to identify the features of macromolecular assembly and associated structure changes.  The basic principle is a high energy photon is absorbed and the molecule is raised to an excited state.  The excess energy is released into the molecular environment as the excited molecule returns to the ground state.  The fluorescence </w:t>
      </w:r>
      <w:r w:rsidR="00644194">
        <w:t>light is emitted as the same or lower frequency than the excited frequency.  Collision quenching theorizes that fluorescent intensity is reduced by quenchers proportionally to the concent</w:t>
      </w:r>
      <w:r w:rsidR="0001232C">
        <w:t>ration of the quencher as summarized by the Stern-</w:t>
      </w:r>
      <w:proofErr w:type="spellStart"/>
      <w:r w:rsidR="0001232C">
        <w:t>Volmer</w:t>
      </w:r>
      <w:proofErr w:type="spellEnd"/>
      <w:r w:rsidR="0001232C">
        <w:t xml:space="preserve"> equation:  </w:t>
      </w:r>
      <m:oMath>
        <m:r>
          <w:rPr>
            <w:rFonts w:ascii="Cambria Math" w:hAnsi="Cambria Math"/>
          </w:rPr>
          <m:t xml:space="preserve">Fo/F = 1 +Ksv[Q] </m:t>
        </m:r>
      </m:oMath>
      <w:r w:rsidR="0001232C">
        <w:t xml:space="preserve"> where </w:t>
      </w:r>
      <w:proofErr w:type="gramStart"/>
      <w:r w:rsidR="0001232C">
        <w:t>Fo</w:t>
      </w:r>
      <w:proofErr w:type="gramEnd"/>
      <w:r w:rsidR="0001232C">
        <w:t xml:space="preserve"> is the intensity in the absence of a quencher, F is the intensity in the presence of a quencher, </w:t>
      </w:r>
      <w:proofErr w:type="spellStart"/>
      <w:r w:rsidR="00970CFD">
        <w:t>K</w:t>
      </w:r>
      <w:r w:rsidR="00970CFD" w:rsidRPr="00970CFD">
        <w:rPr>
          <w:i/>
        </w:rPr>
        <w:t>sv</w:t>
      </w:r>
      <w:proofErr w:type="spellEnd"/>
      <w:r w:rsidR="0001232C">
        <w:t xml:space="preserve"> is the </w:t>
      </w:r>
      <w:r w:rsidR="00906D24">
        <w:t>Stern-</w:t>
      </w:r>
      <w:proofErr w:type="spellStart"/>
      <w:r w:rsidR="00906D24">
        <w:t>Volmer</w:t>
      </w:r>
      <w:proofErr w:type="spellEnd"/>
      <w:r w:rsidR="00906D24">
        <w:t xml:space="preserve"> </w:t>
      </w:r>
      <w:r w:rsidR="0001232C">
        <w:t>quenching constant</w:t>
      </w:r>
      <w:r w:rsidR="00906D24">
        <w:t xml:space="preserve"> and Q is the concentration</w:t>
      </w:r>
      <w:r w:rsidR="0001232C">
        <w:t xml:space="preserve">.  </w:t>
      </w:r>
      <w:r w:rsidR="00F97D47">
        <w:t xml:space="preserve">The major advantage to fluorescence quenching is it can separate compound two ways, excitation or emission spectra, </w:t>
      </w:r>
      <w:r w:rsidR="008C6937">
        <w:t>as compared to a single spectra therefore it has a low signal to noise factor.</w:t>
      </w:r>
      <w:r w:rsidR="0031341C">
        <w:t xml:space="preserve">  </w:t>
      </w:r>
      <w:proofErr w:type="spellStart"/>
      <w:r w:rsidR="00DF7FC3">
        <w:t>Fluorscence</w:t>
      </w:r>
      <w:proofErr w:type="spellEnd"/>
      <w:r w:rsidR="00DF7FC3">
        <w:t xml:space="preserve"> quenching has a variety of applications.  It has been determined that carbamazepine is useful in the treatment of epilepsy and bipolar depression.  However when it is found in aquatic environments in high </w:t>
      </w:r>
      <w:r w:rsidR="00DF7FC3">
        <w:lastRenderedPageBreak/>
        <w:t xml:space="preserve">concentrations it can negatively impact aquatic animals such as the mussel’s immune system or the rainbow trout’s liver.  To investigate the biogeochemical cycling fluorescence spectroscopy was employed due to its sensitivity and simplicity in use, fluorescence is used to provide information on </w:t>
      </w:r>
      <w:proofErr w:type="spellStart"/>
      <w:r w:rsidR="00DF7FC3">
        <w:t>humic</w:t>
      </w:r>
      <w:proofErr w:type="spellEnd"/>
      <w:r w:rsidR="00DF7FC3">
        <w:t xml:space="preserve"> substances (HS) and trace metals, compounds and pesticides.   Specifically, carbamazepine and HS binding behavior was investigated </w:t>
      </w:r>
      <w:r w:rsidR="00025302">
        <w:t xml:space="preserve">and it was determined that carbamazepine and HS can increase its solubility in aquatic environments (1).  </w:t>
      </w:r>
      <w:r w:rsidR="00A911DE">
        <w:t xml:space="preserve">Similarly, a growing environmental concern is the increasing number of reports of endocrine-disrupting compounds (EDCs) in water resulting from sewage treatment plants releasing estrogenic compounds into aquatic environments.  It has been suggested that suspended solids as well as </w:t>
      </w:r>
      <w:proofErr w:type="spellStart"/>
      <w:r w:rsidR="00A911DE">
        <w:t>humic</w:t>
      </w:r>
      <w:proofErr w:type="spellEnd"/>
      <w:r w:rsidR="00A911DE">
        <w:t xml:space="preserve"> acid can be absorbed by EDCs.  </w:t>
      </w:r>
      <w:r w:rsidR="00680866">
        <w:t xml:space="preserve">Further copper which is common in aquatic environments can interact with EDCs resulting in changes of aquatic toxicity.  A study conducted by </w:t>
      </w:r>
      <w:r w:rsidR="00293147">
        <w:t>Yong an</w:t>
      </w:r>
      <w:r w:rsidR="00680866">
        <w:t xml:space="preserve">d et.al. </w:t>
      </w:r>
      <w:proofErr w:type="gramStart"/>
      <w:r w:rsidR="00680866">
        <w:t>entitled</w:t>
      </w:r>
      <w:proofErr w:type="gramEnd"/>
      <w:r w:rsidR="00680866">
        <w:t xml:space="preserve"> “Effect of Copper </w:t>
      </w:r>
      <w:proofErr w:type="spellStart"/>
      <w:r w:rsidR="00680866">
        <w:t>Complexation</w:t>
      </w:r>
      <w:proofErr w:type="spellEnd"/>
      <w:r w:rsidR="00680866">
        <w:t xml:space="preserve"> on the Estrogenic Activities of the Endocrine Disrupting Compounds Using E-Screen Bioassay” employed fluorescence quenching methodology in their research.  </w:t>
      </w:r>
      <w:r w:rsidR="00E45D89">
        <w:t>The research suggested that Cu reduces the combination effect of EDCs and should be taken into consideration when estrogenic activities are evaluated in aquatic environments (2).</w:t>
      </w:r>
      <w:r w:rsidR="00680866">
        <w:t xml:space="preserve">  </w:t>
      </w:r>
      <w:r w:rsidR="007D0846">
        <w:t>Fluorescence quenching has been used to identify denatured proteins’ residual structures.  The residual structures are important since this is the location of the protein-folding initiation sites.  Fluorescence quenching methodology proved effective in locating residual structures of tryptophan in denatured proteins which provide insight into transport of proteins across membranes (3).</w:t>
      </w:r>
    </w:p>
    <w:p w:rsidR="004C1071" w:rsidRDefault="004C1071" w:rsidP="002F0EAB">
      <w:pPr>
        <w:pStyle w:val="CM9"/>
        <w:spacing w:after="272" w:line="276" w:lineRule="atLeast"/>
        <w:rPr>
          <w:b/>
          <w:u w:val="single"/>
        </w:rPr>
      </w:pPr>
    </w:p>
    <w:p w:rsidR="0062783D" w:rsidRDefault="0062783D" w:rsidP="002F0EAB">
      <w:pPr>
        <w:pStyle w:val="CM9"/>
        <w:spacing w:after="272" w:line="276" w:lineRule="atLeast"/>
        <w:rPr>
          <w:b/>
          <w:u w:val="single"/>
        </w:rPr>
      </w:pPr>
      <w:r>
        <w:rPr>
          <w:b/>
          <w:u w:val="single"/>
        </w:rPr>
        <w:t>EXPERIMENTAL SECTION</w:t>
      </w:r>
    </w:p>
    <w:p w:rsidR="002F0EAB" w:rsidRPr="0062783D" w:rsidRDefault="0062783D" w:rsidP="002F0EAB">
      <w:pPr>
        <w:pStyle w:val="CM9"/>
        <w:spacing w:after="272" w:line="276" w:lineRule="atLeast"/>
        <w:rPr>
          <w:b/>
        </w:rPr>
      </w:pPr>
      <w:r w:rsidRPr="0062783D">
        <w:rPr>
          <w:b/>
        </w:rPr>
        <w:t>METHODS</w:t>
      </w:r>
      <w:r w:rsidR="002F0EAB" w:rsidRPr="0062783D">
        <w:rPr>
          <w:b/>
        </w:rPr>
        <w:t xml:space="preserve">     </w:t>
      </w:r>
    </w:p>
    <w:p w:rsidR="00D926F5" w:rsidRDefault="002F0EAB" w:rsidP="00D926F5">
      <w:pPr>
        <w:spacing w:after="0" w:line="480" w:lineRule="auto"/>
        <w:contextualSpacing/>
      </w:pPr>
      <w:r>
        <w:lastRenderedPageBreak/>
        <w:t xml:space="preserve">    </w:t>
      </w:r>
      <w:r w:rsidR="00615666">
        <w:t xml:space="preserve"> </w:t>
      </w:r>
      <w:r w:rsidRPr="00E84799">
        <w:rPr>
          <w:rFonts w:cs="Times New Roman"/>
        </w:rPr>
        <w:t xml:space="preserve">The procedures established in the </w:t>
      </w:r>
      <w:r w:rsidR="001F4081" w:rsidRPr="00E84799">
        <w:rPr>
          <w:rFonts w:cs="Times New Roman"/>
        </w:rPr>
        <w:t>“</w:t>
      </w:r>
      <w:r w:rsidR="006D126B">
        <w:t>The Simultaneous Determination of Chloride and Bromide Ions Using Fluorescence Quenching</w:t>
      </w:r>
      <w:r w:rsidR="001F4081" w:rsidRPr="00E84799">
        <w:rPr>
          <w:rFonts w:cs="Times New Roman"/>
          <w:color w:val="221E1F"/>
        </w:rPr>
        <w:t>”</w:t>
      </w:r>
      <w:r w:rsidR="00280224">
        <w:rPr>
          <w:rFonts w:cs="Times New Roman"/>
          <w:color w:val="221E1F"/>
        </w:rPr>
        <w:t xml:space="preserve"> protocol posted on T-square</w:t>
      </w:r>
      <w:r w:rsidR="009A6B7D" w:rsidRPr="00E84799">
        <w:rPr>
          <w:rFonts w:cs="Times New Roman"/>
          <w:color w:val="221E1F"/>
        </w:rPr>
        <w:t xml:space="preserve"> </w:t>
      </w:r>
      <w:r w:rsidRPr="00E84799">
        <w:rPr>
          <w:rFonts w:cs="Times New Roman"/>
          <w:color w:val="221E1F"/>
        </w:rPr>
        <w:t>w</w:t>
      </w:r>
      <w:r w:rsidR="00340975" w:rsidRPr="00E84799">
        <w:rPr>
          <w:rFonts w:cs="Times New Roman"/>
          <w:color w:val="221E1F"/>
        </w:rPr>
        <w:t>ere</w:t>
      </w:r>
      <w:r w:rsidRPr="00E84799">
        <w:rPr>
          <w:rFonts w:cs="Times New Roman"/>
          <w:color w:val="221E1F"/>
        </w:rPr>
        <w:t xml:space="preserve"> used to conduct the experiment</w:t>
      </w:r>
      <w:r w:rsidR="00280224">
        <w:rPr>
          <w:rFonts w:cs="Times New Roman"/>
          <w:color w:val="221E1F"/>
        </w:rPr>
        <w:t xml:space="preserve"> (4)</w:t>
      </w:r>
      <w:r w:rsidR="005D5547">
        <w:rPr>
          <w:rFonts w:cs="Times New Roman"/>
          <w:color w:val="221E1F"/>
        </w:rPr>
        <w:t>.</w:t>
      </w:r>
      <w:r w:rsidRPr="00E84799">
        <w:rPr>
          <w:rFonts w:cs="Times New Roman"/>
          <w:color w:val="221E1F"/>
        </w:rPr>
        <w:t xml:space="preserve"> </w:t>
      </w:r>
      <w:r w:rsidR="000F3536">
        <w:rPr>
          <w:rFonts w:cs="Times New Roman"/>
          <w:color w:val="221E1F"/>
        </w:rPr>
        <w:t xml:space="preserve"> </w:t>
      </w:r>
      <w:r w:rsidR="00580EF2">
        <w:rPr>
          <w:rFonts w:cs="Times New Roman"/>
          <w:color w:val="221E1F"/>
        </w:rPr>
        <w:t>To prevent contamination, all glassware was rinsed with 0.5 M of H</w:t>
      </w:r>
      <w:r w:rsidR="00580EF2" w:rsidRPr="00580EF2">
        <w:rPr>
          <w:rFonts w:cs="Times New Roman"/>
          <w:color w:val="221E1F"/>
          <w:vertAlign w:val="subscript"/>
        </w:rPr>
        <w:t>2</w:t>
      </w:r>
      <w:r w:rsidR="00580EF2">
        <w:rPr>
          <w:rFonts w:cs="Times New Roman"/>
          <w:color w:val="221E1F"/>
        </w:rPr>
        <w:t>SO</w:t>
      </w:r>
      <w:r w:rsidR="00580EF2" w:rsidRPr="00580EF2">
        <w:rPr>
          <w:rFonts w:cs="Times New Roman"/>
          <w:color w:val="221E1F"/>
          <w:vertAlign w:val="subscript"/>
        </w:rPr>
        <w:t>4</w:t>
      </w:r>
      <w:r w:rsidR="000F3536">
        <w:rPr>
          <w:rFonts w:cs="Times New Roman"/>
          <w:szCs w:val="24"/>
        </w:rPr>
        <w:t xml:space="preserve">.  </w:t>
      </w:r>
      <w:r w:rsidR="00580EF2">
        <w:rPr>
          <w:rFonts w:cs="Times New Roman"/>
          <w:szCs w:val="24"/>
        </w:rPr>
        <w:t>A solution of potassium bromide and sodium chloride of unknown concentration dissolved in 0.5 M H</w:t>
      </w:r>
      <w:r w:rsidR="00580EF2" w:rsidRPr="00580EF2">
        <w:rPr>
          <w:rFonts w:cs="Times New Roman"/>
          <w:szCs w:val="24"/>
          <w:vertAlign w:val="subscript"/>
        </w:rPr>
        <w:t>2</w:t>
      </w:r>
      <w:r w:rsidR="00580EF2">
        <w:rPr>
          <w:rFonts w:cs="Times New Roman"/>
          <w:szCs w:val="24"/>
        </w:rPr>
        <w:t>SO</w:t>
      </w:r>
      <w:r w:rsidR="00580EF2" w:rsidRPr="00580EF2">
        <w:rPr>
          <w:rFonts w:cs="Times New Roman"/>
          <w:szCs w:val="24"/>
          <w:vertAlign w:val="subscript"/>
        </w:rPr>
        <w:t>4</w:t>
      </w:r>
      <w:r w:rsidR="00580EF2">
        <w:rPr>
          <w:rFonts w:cs="Times New Roman"/>
          <w:szCs w:val="24"/>
        </w:rPr>
        <w:t xml:space="preserve"> was provided by the teaching assistant (TA).  In addition, the TA provided the following solutions a</w:t>
      </w:r>
      <w:r w:rsidR="00580EF2" w:rsidRPr="00580EF2">
        <w:rPr>
          <w:rFonts w:cs="Times New Roman"/>
          <w:szCs w:val="24"/>
        </w:rPr>
        <w:t>pproximately 1.8 x 10-2 M NaC1 dissolved in 0.5 M H</w:t>
      </w:r>
      <w:r w:rsidR="00580EF2" w:rsidRPr="00580EF2">
        <w:rPr>
          <w:rFonts w:cs="Times New Roman"/>
          <w:szCs w:val="24"/>
          <w:vertAlign w:val="subscript"/>
        </w:rPr>
        <w:t>2</w:t>
      </w:r>
      <w:r w:rsidR="00580EF2" w:rsidRPr="00580EF2">
        <w:rPr>
          <w:rFonts w:cs="Times New Roman"/>
          <w:szCs w:val="24"/>
        </w:rPr>
        <w:t>SO</w:t>
      </w:r>
      <w:r w:rsidR="00580EF2" w:rsidRPr="00580EF2">
        <w:rPr>
          <w:rFonts w:cs="Times New Roman"/>
          <w:szCs w:val="24"/>
          <w:vertAlign w:val="subscript"/>
        </w:rPr>
        <w:t>4</w:t>
      </w:r>
      <w:r w:rsidR="00580EF2">
        <w:rPr>
          <w:rFonts w:cs="Times New Roman"/>
          <w:szCs w:val="24"/>
        </w:rPr>
        <w:t>; a</w:t>
      </w:r>
      <w:r w:rsidR="00580EF2" w:rsidRPr="00580EF2">
        <w:rPr>
          <w:rFonts w:cs="Times New Roman"/>
          <w:szCs w:val="24"/>
        </w:rPr>
        <w:t xml:space="preserve">pproximately 1.8 x 10-2 M </w:t>
      </w:r>
      <w:proofErr w:type="spellStart"/>
      <w:r w:rsidR="00580EF2" w:rsidRPr="00580EF2">
        <w:rPr>
          <w:rFonts w:cs="Times New Roman"/>
          <w:szCs w:val="24"/>
        </w:rPr>
        <w:t>KBr</w:t>
      </w:r>
      <w:proofErr w:type="spellEnd"/>
      <w:r w:rsidR="00580EF2" w:rsidRPr="00580EF2">
        <w:rPr>
          <w:rFonts w:cs="Times New Roman"/>
          <w:szCs w:val="24"/>
        </w:rPr>
        <w:t xml:space="preserve"> dissolved in 0.5 M H</w:t>
      </w:r>
      <w:r w:rsidR="00580EF2" w:rsidRPr="00580EF2">
        <w:rPr>
          <w:rFonts w:cs="Times New Roman"/>
          <w:szCs w:val="24"/>
          <w:vertAlign w:val="subscript"/>
        </w:rPr>
        <w:t>2</w:t>
      </w:r>
      <w:r w:rsidR="00580EF2" w:rsidRPr="00580EF2">
        <w:rPr>
          <w:rFonts w:cs="Times New Roman"/>
          <w:szCs w:val="24"/>
        </w:rPr>
        <w:t>SO</w:t>
      </w:r>
      <w:r w:rsidR="00580EF2" w:rsidRPr="00580EF2">
        <w:rPr>
          <w:rFonts w:cs="Times New Roman"/>
          <w:szCs w:val="24"/>
          <w:vertAlign w:val="subscript"/>
        </w:rPr>
        <w:t>4</w:t>
      </w:r>
      <w:r w:rsidR="00580EF2">
        <w:rPr>
          <w:rFonts w:cs="Times New Roman"/>
          <w:szCs w:val="24"/>
        </w:rPr>
        <w:t>; a</w:t>
      </w:r>
      <w:r w:rsidR="00580EF2" w:rsidRPr="00580EF2">
        <w:rPr>
          <w:rFonts w:cs="Times New Roman"/>
          <w:szCs w:val="24"/>
        </w:rPr>
        <w:t xml:space="preserve"> stock solution of containing approximately 4.0 </w:t>
      </w:r>
      <w:r w:rsidR="00580EF2">
        <w:rPr>
          <w:rFonts w:cs="Times New Roman"/>
          <w:szCs w:val="24"/>
        </w:rPr>
        <w:t xml:space="preserve">ppm quinine dissolved in 0.5 </w:t>
      </w:r>
      <w:r w:rsidR="00580EF2" w:rsidRPr="00580EF2">
        <w:rPr>
          <w:rFonts w:cs="Times New Roman"/>
          <w:szCs w:val="24"/>
        </w:rPr>
        <w:t>M H</w:t>
      </w:r>
      <w:r w:rsidR="00580EF2" w:rsidRPr="00580EF2">
        <w:rPr>
          <w:rFonts w:cs="Times New Roman"/>
          <w:szCs w:val="24"/>
          <w:vertAlign w:val="subscript"/>
        </w:rPr>
        <w:t>2</w:t>
      </w:r>
      <w:r w:rsidR="00580EF2" w:rsidRPr="00580EF2">
        <w:rPr>
          <w:rFonts w:cs="Times New Roman"/>
          <w:szCs w:val="24"/>
        </w:rPr>
        <w:t>SO</w:t>
      </w:r>
      <w:r w:rsidR="00580EF2" w:rsidRPr="00580EF2">
        <w:rPr>
          <w:rFonts w:cs="Times New Roman"/>
          <w:szCs w:val="24"/>
          <w:vertAlign w:val="subscript"/>
        </w:rPr>
        <w:t>4</w:t>
      </w:r>
      <w:r w:rsidR="00580EF2">
        <w:rPr>
          <w:rFonts w:cs="Times New Roman"/>
          <w:szCs w:val="24"/>
        </w:rPr>
        <w:t>; and a</w:t>
      </w:r>
      <w:r w:rsidR="00580EF2" w:rsidRPr="00580EF2">
        <w:rPr>
          <w:rFonts w:cs="Times New Roman"/>
          <w:szCs w:val="24"/>
        </w:rPr>
        <w:t xml:space="preserve"> stock solution of ~1.0 x 10-5 M </w:t>
      </w:r>
      <w:proofErr w:type="spellStart"/>
      <w:r w:rsidR="00580EF2" w:rsidRPr="00580EF2">
        <w:rPr>
          <w:rFonts w:cs="Times New Roman"/>
          <w:szCs w:val="24"/>
        </w:rPr>
        <w:t>acridine</w:t>
      </w:r>
      <w:proofErr w:type="spellEnd"/>
      <w:r w:rsidR="00580EF2" w:rsidRPr="00580EF2">
        <w:rPr>
          <w:rFonts w:cs="Times New Roman"/>
          <w:szCs w:val="24"/>
        </w:rPr>
        <w:t xml:space="preserve"> </w:t>
      </w:r>
      <w:r w:rsidR="00580EF2">
        <w:rPr>
          <w:rFonts w:cs="Times New Roman"/>
          <w:szCs w:val="24"/>
        </w:rPr>
        <w:t>d</w:t>
      </w:r>
      <w:r w:rsidR="00580EF2" w:rsidRPr="00580EF2">
        <w:rPr>
          <w:rFonts w:cs="Times New Roman"/>
          <w:szCs w:val="24"/>
        </w:rPr>
        <w:t>issolved 0.5 M H</w:t>
      </w:r>
      <w:r w:rsidR="00580EF2" w:rsidRPr="00580EF2">
        <w:rPr>
          <w:rFonts w:cs="Times New Roman"/>
          <w:szCs w:val="24"/>
          <w:vertAlign w:val="subscript"/>
        </w:rPr>
        <w:t>2</w:t>
      </w:r>
      <w:r w:rsidR="00580EF2" w:rsidRPr="00580EF2">
        <w:rPr>
          <w:rFonts w:cs="Times New Roman"/>
          <w:szCs w:val="24"/>
        </w:rPr>
        <w:t>SO</w:t>
      </w:r>
      <w:r w:rsidR="00580EF2" w:rsidRPr="00580EF2">
        <w:rPr>
          <w:rFonts w:cs="Times New Roman"/>
          <w:szCs w:val="24"/>
          <w:vertAlign w:val="subscript"/>
        </w:rPr>
        <w:t>4</w:t>
      </w:r>
      <w:r w:rsidR="00580EF2">
        <w:rPr>
          <w:rFonts w:cs="Times New Roman"/>
          <w:szCs w:val="24"/>
        </w:rPr>
        <w:t xml:space="preserve"> to determine the K</w:t>
      </w:r>
      <w:r w:rsidR="00580EF2" w:rsidRPr="00580EF2">
        <w:rPr>
          <w:rFonts w:cs="Times New Roman"/>
          <w:szCs w:val="24"/>
          <w:vertAlign w:val="subscript"/>
        </w:rPr>
        <w:t xml:space="preserve">Q1 </w:t>
      </w:r>
      <w:r w:rsidR="00580EF2">
        <w:rPr>
          <w:rFonts w:cs="Times New Roman"/>
          <w:szCs w:val="24"/>
        </w:rPr>
        <w:t>and K</w:t>
      </w:r>
      <w:r w:rsidR="00580EF2" w:rsidRPr="00580EF2">
        <w:rPr>
          <w:rFonts w:cs="Times New Roman"/>
          <w:szCs w:val="24"/>
          <w:vertAlign w:val="subscript"/>
        </w:rPr>
        <w:t>Q2</w:t>
      </w:r>
      <w:r w:rsidR="00580EF2">
        <w:rPr>
          <w:rFonts w:cs="Times New Roman"/>
          <w:szCs w:val="24"/>
        </w:rPr>
        <w:t xml:space="preserve"> coefficients.  A series of eight quinine solutions were prepared by pipetting the appropriate quantities of stock solutions into 25 mL volumetric flasks and diluted to the mark with 0.5 M H</w:t>
      </w:r>
      <w:r w:rsidR="00580EF2" w:rsidRPr="00580EF2">
        <w:rPr>
          <w:rFonts w:cs="Times New Roman"/>
          <w:szCs w:val="24"/>
          <w:vertAlign w:val="subscript"/>
        </w:rPr>
        <w:t>2</w:t>
      </w:r>
      <w:r w:rsidR="00580EF2">
        <w:rPr>
          <w:rFonts w:cs="Times New Roman"/>
          <w:szCs w:val="24"/>
        </w:rPr>
        <w:t>SO</w:t>
      </w:r>
      <w:r w:rsidR="00580EF2" w:rsidRPr="00580EF2">
        <w:rPr>
          <w:rFonts w:cs="Times New Roman"/>
          <w:szCs w:val="24"/>
          <w:vertAlign w:val="subscript"/>
        </w:rPr>
        <w:t>4</w:t>
      </w:r>
      <w:r w:rsidR="00580EF2">
        <w:rPr>
          <w:rFonts w:cs="Times New Roman"/>
          <w:szCs w:val="24"/>
        </w:rPr>
        <w:t xml:space="preserve">.  </w:t>
      </w:r>
      <w:r w:rsidR="00473002">
        <w:t xml:space="preserve">To prepare the eight quinine solutions we calculated how much quinine would be put into each volumetric flask which was determined to be 2ml of quinine for each flask. We also calculated how much </w:t>
      </w:r>
      <w:proofErr w:type="spellStart"/>
      <w:r w:rsidR="00473002">
        <w:t>NaCl</w:t>
      </w:r>
      <w:proofErr w:type="spellEnd"/>
      <w:r w:rsidR="00473002">
        <w:t xml:space="preserve"> and </w:t>
      </w:r>
      <w:proofErr w:type="spellStart"/>
      <w:r w:rsidR="00473002">
        <w:t>KBr</w:t>
      </w:r>
      <w:proofErr w:type="spellEnd"/>
      <w:r w:rsidR="00473002">
        <w:t xml:space="preserve"> was put into each for </w:t>
      </w:r>
      <w:proofErr w:type="spellStart"/>
      <w:r w:rsidR="00473002">
        <w:t>a</w:t>
      </w:r>
      <w:proofErr w:type="gramStart"/>
      <w:r w:rsidR="00473002">
        <w:t>,b,c,d</w:t>
      </w:r>
      <w:proofErr w:type="spellEnd"/>
      <w:proofErr w:type="gramEnd"/>
      <w:r w:rsidR="00473002">
        <w:t xml:space="preserve"> it was .5,</w:t>
      </w:r>
      <w:r w:rsidR="00D926F5">
        <w:t xml:space="preserve"> </w:t>
      </w:r>
      <w:r w:rsidR="00473002">
        <w:t>1,</w:t>
      </w:r>
      <w:r w:rsidR="00D926F5">
        <w:t xml:space="preserve"> </w:t>
      </w:r>
      <w:r w:rsidR="00473002">
        <w:t>2,</w:t>
      </w:r>
      <w:r w:rsidR="00D926F5">
        <w:t xml:space="preserve"> </w:t>
      </w:r>
      <w:r w:rsidR="00473002">
        <w:t xml:space="preserve">3 (ml) of </w:t>
      </w:r>
      <w:proofErr w:type="spellStart"/>
      <w:r w:rsidR="00473002">
        <w:t>NaCl</w:t>
      </w:r>
      <w:proofErr w:type="spellEnd"/>
      <w:r w:rsidR="00473002">
        <w:t xml:space="preserve"> respectively and for </w:t>
      </w:r>
      <w:proofErr w:type="spellStart"/>
      <w:r w:rsidR="00473002">
        <w:t>e,f,g,h</w:t>
      </w:r>
      <w:proofErr w:type="spellEnd"/>
      <w:r w:rsidR="00473002">
        <w:t xml:space="preserve"> it was .5,</w:t>
      </w:r>
      <w:r w:rsidR="00D926F5">
        <w:t xml:space="preserve"> </w:t>
      </w:r>
      <w:r w:rsidR="00473002">
        <w:t>1,</w:t>
      </w:r>
      <w:r w:rsidR="00D926F5">
        <w:t xml:space="preserve"> </w:t>
      </w:r>
      <w:r w:rsidR="00473002">
        <w:t>2,</w:t>
      </w:r>
      <w:r w:rsidR="00D926F5">
        <w:t xml:space="preserve"> </w:t>
      </w:r>
      <w:r w:rsidR="00473002">
        <w:t>3</w:t>
      </w:r>
      <w:r w:rsidR="00D926F5">
        <w:t xml:space="preserve"> </w:t>
      </w:r>
      <w:r w:rsidR="00473002">
        <w:t xml:space="preserve">(ml) of </w:t>
      </w:r>
      <w:proofErr w:type="spellStart"/>
      <w:r w:rsidR="00473002">
        <w:t>KBr</w:t>
      </w:r>
      <w:proofErr w:type="spellEnd"/>
      <w:r w:rsidR="00473002">
        <w:t>, respectively</w:t>
      </w:r>
      <w:r w:rsidR="001558B3">
        <w:t>. These were the</w:t>
      </w:r>
      <w:r w:rsidR="00473002">
        <w:t xml:space="preserve"> same numbers used for </w:t>
      </w:r>
      <w:r w:rsidR="001558B3">
        <w:t>calculating</w:t>
      </w:r>
      <w:r w:rsidR="00473002">
        <w:t xml:space="preserve"> the difference </w:t>
      </w:r>
      <w:proofErr w:type="gramStart"/>
      <w:r w:rsidR="001558B3">
        <w:t xml:space="preserve">for </w:t>
      </w:r>
      <w:r w:rsidR="00473002">
        <w:t xml:space="preserve"> 2ml</w:t>
      </w:r>
      <w:proofErr w:type="gramEnd"/>
      <w:r w:rsidR="00473002">
        <w:t xml:space="preserve"> of </w:t>
      </w:r>
      <w:proofErr w:type="spellStart"/>
      <w:r w:rsidR="00473002">
        <w:t>acridine</w:t>
      </w:r>
      <w:proofErr w:type="spellEnd"/>
      <w:r w:rsidR="00473002">
        <w:t xml:space="preserve"> in each.</w:t>
      </w:r>
      <w:r w:rsidR="00D926F5">
        <w:t xml:space="preserve">  </w:t>
      </w:r>
    </w:p>
    <w:p w:rsidR="00473002" w:rsidRDefault="00473002" w:rsidP="00473002">
      <w:r>
        <w:t xml:space="preserve">Ex calculation: </w:t>
      </w:r>
      <m:oMath>
        <m:f>
          <m:fPr>
            <m:ctrlPr>
              <w:rPr>
                <w:rFonts w:ascii="Cambria Math" w:hAnsi="Cambria Math"/>
                <w:i/>
              </w:rPr>
            </m:ctrlPr>
          </m:fPr>
          <m:num>
            <m:d>
              <m:dPr>
                <m:ctrlPr>
                  <w:rPr>
                    <w:rFonts w:ascii="Cambria Math" w:hAnsi="Cambria Math"/>
                    <w:i/>
                  </w:rPr>
                </m:ctrlPr>
              </m:dPr>
              <m:e>
                <m:r>
                  <w:rPr>
                    <w:rFonts w:ascii="Cambria Math" w:hAnsi="Cambria Math"/>
                  </w:rPr>
                  <m:t>3.60*</m:t>
                </m:r>
                <m:sSup>
                  <m:sSupPr>
                    <m:ctrlPr>
                      <w:rPr>
                        <w:rFonts w:ascii="Cambria Math" w:hAnsi="Cambria Math"/>
                        <w:i/>
                      </w:rPr>
                    </m:ctrlPr>
                  </m:sSupPr>
                  <m:e>
                    <m:r>
                      <w:rPr>
                        <w:rFonts w:ascii="Cambria Math" w:hAnsi="Cambria Math"/>
                      </w:rPr>
                      <m:t>10</m:t>
                    </m:r>
                  </m:e>
                  <m:sup>
                    <m:r>
                      <w:rPr>
                        <w:rFonts w:ascii="Cambria Math" w:hAnsi="Cambria Math"/>
                      </w:rPr>
                      <m:t>-4</m:t>
                    </m:r>
                  </m:sup>
                </m:sSup>
              </m:e>
            </m:d>
            <m:r>
              <w:rPr>
                <w:rFonts w:ascii="Cambria Math" w:hAnsi="Cambria Math"/>
              </w:rPr>
              <m:t>*(x)</m:t>
            </m:r>
          </m:num>
          <m:den>
            <m:d>
              <m:dPr>
                <m:begChr m:val="["/>
                <m:ctrlPr>
                  <w:rPr>
                    <w:rFonts w:ascii="Cambria Math" w:hAnsi="Cambria Math"/>
                    <w:i/>
                  </w:rPr>
                </m:ctrlPr>
              </m:dPr>
              <m:e>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-2</m:t>
                    </m:r>
                  </m:sup>
                </m:sSup>
              </m:e>
            </m:d>
            <m:r>
              <w:rPr>
                <w:rFonts w:ascii="Cambria Math" w:hAnsi="Cambria Math"/>
              </w:rPr>
              <m:t>/25</m:t>
            </m:r>
          </m:den>
        </m:f>
      </m:oMath>
      <w:r>
        <w:t xml:space="preserve"> =.5ml</w:t>
      </w:r>
    </w:p>
    <w:p w:rsidR="00580EF2" w:rsidRPr="007101D3" w:rsidRDefault="00580EF2" w:rsidP="006D126B">
      <w:pPr>
        <w:spacing w:after="0" w:line="480" w:lineRule="auto"/>
        <w:contextualSpacing/>
        <w:rPr>
          <w:rFonts w:cs="Times New Roman"/>
          <w:szCs w:val="24"/>
        </w:rPr>
      </w:pPr>
      <w:r>
        <w:rPr>
          <w:rFonts w:cs="Times New Roman"/>
          <w:szCs w:val="24"/>
        </w:rPr>
        <w:t xml:space="preserve">A series of eight </w:t>
      </w:r>
      <w:proofErr w:type="spellStart"/>
      <w:r>
        <w:rPr>
          <w:rFonts w:cs="Times New Roman"/>
          <w:szCs w:val="24"/>
        </w:rPr>
        <w:t>acridine</w:t>
      </w:r>
      <w:proofErr w:type="spellEnd"/>
      <w:r>
        <w:rPr>
          <w:rFonts w:cs="Times New Roman"/>
          <w:szCs w:val="24"/>
        </w:rPr>
        <w:t xml:space="preserve"> solutions were prepared by pipetting the appropriate quantities of stock solutions into 25 mL volumetric flasks and diluted to the mark with 0.5 M H</w:t>
      </w:r>
      <w:r w:rsidRPr="00580EF2">
        <w:rPr>
          <w:rFonts w:cs="Times New Roman"/>
          <w:szCs w:val="24"/>
          <w:vertAlign w:val="subscript"/>
        </w:rPr>
        <w:t>2</w:t>
      </w:r>
      <w:r>
        <w:rPr>
          <w:rFonts w:cs="Times New Roman"/>
          <w:szCs w:val="24"/>
        </w:rPr>
        <w:t>SO</w:t>
      </w:r>
      <w:r w:rsidRPr="00580EF2">
        <w:rPr>
          <w:rFonts w:cs="Times New Roman"/>
          <w:szCs w:val="24"/>
          <w:vertAlign w:val="subscript"/>
        </w:rPr>
        <w:t>4</w:t>
      </w:r>
      <w:r>
        <w:rPr>
          <w:rFonts w:cs="Times New Roman"/>
          <w:szCs w:val="24"/>
        </w:rPr>
        <w:t xml:space="preserve">.  The software for the RF-5301PC instrument was opened by double clicking the RF-5301PC icon.  Upon initialization completion, the “configure” from the drop down menu was clicked and “parameters” was selected.  </w:t>
      </w:r>
      <w:r w:rsidR="007605D1">
        <w:rPr>
          <w:rFonts w:cs="Times New Roman"/>
          <w:szCs w:val="24"/>
        </w:rPr>
        <w:t>The following parameters were set</w:t>
      </w:r>
      <w:r w:rsidR="00BE524B">
        <w:rPr>
          <w:rFonts w:cs="Times New Roman"/>
          <w:szCs w:val="24"/>
        </w:rPr>
        <w:t xml:space="preserve">: spectrum type – emissions; EX wavelength – 350 nm; EM wavelength range – started at 400 and ended at 500; recording range </w:t>
      </w:r>
      <w:r w:rsidR="00BE524B">
        <w:rPr>
          <w:rFonts w:cs="Times New Roman"/>
          <w:szCs w:val="24"/>
        </w:rPr>
        <w:lastRenderedPageBreak/>
        <w:t xml:space="preserve">– selected low at -50 and high 1000; scanned speed – fast; sampling interval: 1.0 nm; slit width – EX: 10 and EM: 3; sensitivity – high; and response time – auto, then “ok” was selected.  </w:t>
      </w:r>
      <w:r w:rsidR="007D6B37">
        <w:rPr>
          <w:rFonts w:cs="Times New Roman"/>
          <w:szCs w:val="24"/>
        </w:rPr>
        <w:t>The shutter was closed by pressing “shutter” button which caused a yellow circle to disappear.  By pressing the “shutter” button again caused the shutter to open and the yellow circle shutter icon to reappear.  Note</w:t>
      </w:r>
      <w:proofErr w:type="gramStart"/>
      <w:r w:rsidR="007D6B37">
        <w:rPr>
          <w:rFonts w:cs="Times New Roman"/>
          <w:szCs w:val="24"/>
        </w:rPr>
        <w:t>,</w:t>
      </w:r>
      <w:proofErr w:type="gramEnd"/>
      <w:r w:rsidR="007D6B37">
        <w:rPr>
          <w:rFonts w:cs="Times New Roman"/>
          <w:szCs w:val="24"/>
        </w:rPr>
        <w:t xml:space="preserve"> the shutter should be closed while opening the sample compartment.  The quartz fluorescence cell was rinsed with a few aliquots of 0.5 M H</w:t>
      </w:r>
      <w:r w:rsidR="007D6B37" w:rsidRPr="007D6B37">
        <w:rPr>
          <w:rFonts w:cs="Times New Roman"/>
          <w:szCs w:val="24"/>
          <w:vertAlign w:val="subscript"/>
        </w:rPr>
        <w:t>2</w:t>
      </w:r>
      <w:r w:rsidR="007D6B37">
        <w:rPr>
          <w:rFonts w:cs="Times New Roman"/>
          <w:szCs w:val="24"/>
        </w:rPr>
        <w:t>SO</w:t>
      </w:r>
      <w:r w:rsidR="007D6B37" w:rsidRPr="007D6B37">
        <w:rPr>
          <w:rFonts w:cs="Times New Roman"/>
          <w:szCs w:val="24"/>
          <w:vertAlign w:val="subscript"/>
        </w:rPr>
        <w:t>4</w:t>
      </w:r>
      <w:r w:rsidR="007D6B37">
        <w:rPr>
          <w:rFonts w:cs="Times New Roman"/>
          <w:szCs w:val="24"/>
        </w:rPr>
        <w:t>, then the cuvette was filled with 0.5 M H</w:t>
      </w:r>
      <w:r w:rsidR="007D6B37" w:rsidRPr="007D6B37">
        <w:rPr>
          <w:rFonts w:cs="Times New Roman"/>
          <w:szCs w:val="24"/>
          <w:vertAlign w:val="subscript"/>
        </w:rPr>
        <w:t>2</w:t>
      </w:r>
      <w:r w:rsidR="007D6B37">
        <w:rPr>
          <w:rFonts w:cs="Times New Roman"/>
          <w:szCs w:val="24"/>
        </w:rPr>
        <w:t>SO</w:t>
      </w:r>
      <w:r w:rsidR="007D6B37" w:rsidRPr="007D6B37">
        <w:rPr>
          <w:rFonts w:cs="Times New Roman"/>
          <w:szCs w:val="24"/>
          <w:vertAlign w:val="subscript"/>
        </w:rPr>
        <w:t>4</w:t>
      </w:r>
      <w:r w:rsidR="007D6B37">
        <w:rPr>
          <w:rFonts w:cs="Times New Roman"/>
          <w:szCs w:val="24"/>
        </w:rPr>
        <w:t xml:space="preserve">.  </w:t>
      </w:r>
      <w:r w:rsidR="009F65C8">
        <w:rPr>
          <w:rFonts w:cs="Times New Roman"/>
          <w:szCs w:val="24"/>
        </w:rPr>
        <w:t xml:space="preserve">The shutter was checked to ensure it was closed then the cuvette was inserted into the </w:t>
      </w:r>
      <w:proofErr w:type="spellStart"/>
      <w:r w:rsidR="009F65C8">
        <w:rPr>
          <w:rFonts w:cs="Times New Roman"/>
          <w:szCs w:val="24"/>
        </w:rPr>
        <w:t>fluorometer</w:t>
      </w:r>
      <w:proofErr w:type="spellEnd"/>
      <w:r w:rsidR="009F65C8">
        <w:rPr>
          <w:rFonts w:cs="Times New Roman"/>
          <w:szCs w:val="24"/>
        </w:rPr>
        <w:t xml:space="preserve">.  The </w:t>
      </w:r>
      <w:proofErr w:type="spellStart"/>
      <w:r w:rsidR="009F65C8">
        <w:rPr>
          <w:rFonts w:cs="Times New Roman"/>
          <w:szCs w:val="24"/>
        </w:rPr>
        <w:t>lide</w:t>
      </w:r>
      <w:proofErr w:type="spellEnd"/>
      <w:r w:rsidR="009F65C8">
        <w:rPr>
          <w:rFonts w:cs="Times New Roman"/>
          <w:szCs w:val="24"/>
        </w:rPr>
        <w:t xml:space="preserve"> was closed and the shutter opened.  </w:t>
      </w:r>
      <w:r w:rsidR="000000ED">
        <w:rPr>
          <w:rFonts w:cs="Times New Roman"/>
          <w:szCs w:val="24"/>
        </w:rPr>
        <w:t xml:space="preserve">The “auto zero” button was pressed and the shutter closed.  </w:t>
      </w:r>
      <w:r w:rsidR="00E667BC">
        <w:rPr>
          <w:rFonts w:cs="Times New Roman"/>
          <w:szCs w:val="24"/>
        </w:rPr>
        <w:t xml:space="preserve">Prior to each analysis the cuvette was rinsed with a few aliquots of the </w:t>
      </w:r>
      <w:proofErr w:type="spellStart"/>
      <w:r w:rsidR="00E667BC">
        <w:rPr>
          <w:rFonts w:cs="Times New Roman"/>
          <w:szCs w:val="24"/>
        </w:rPr>
        <w:t>analyte</w:t>
      </w:r>
      <w:proofErr w:type="spellEnd"/>
      <w:r w:rsidR="00E667BC">
        <w:rPr>
          <w:rFonts w:cs="Times New Roman"/>
          <w:szCs w:val="24"/>
        </w:rPr>
        <w:t xml:space="preserve"> solution.  The concentration of the quencher was analyzed from lowest to highest and care was taken to ensure the shutter was closed while the sample chamber cover was open.  </w:t>
      </w:r>
      <w:r w:rsidR="000D0D71">
        <w:rPr>
          <w:rFonts w:cs="Times New Roman"/>
          <w:szCs w:val="24"/>
        </w:rPr>
        <w:t xml:space="preserve">The fluorescence intensity of the eight quinine solutions was measured at 450 nm with an excitation wavelength of 350 nm.  The analysis of the samples was conducted by closing the shutter, inserting the cuvette into the sample holder, closing the lid, opening the lid and pressing “start”.   When the dialog box appeared after the fluorescence spectrum was acquired the file was named and “save” was pressed.  </w:t>
      </w:r>
      <w:r w:rsidR="002A613A">
        <w:rPr>
          <w:rFonts w:cs="Times New Roman"/>
          <w:szCs w:val="24"/>
        </w:rPr>
        <w:t xml:space="preserve">The maximum wavelength and intensity was determined by selecting the “manipulate” drop down menu and selecting “peak pick”.   The dialog box was expanded and the </w:t>
      </w:r>
      <w:proofErr w:type="spellStart"/>
      <w:r w:rsidR="002A613A" w:rsidRPr="001F385A">
        <w:rPr>
          <w:rFonts w:ascii="Arial" w:hAnsi="Arial" w:cs="Arial"/>
        </w:rPr>
        <w:t>λ</w:t>
      </w:r>
      <w:r w:rsidR="002A613A" w:rsidRPr="001F385A">
        <w:rPr>
          <w:vertAlign w:val="subscript"/>
        </w:rPr>
        <w:t>max</w:t>
      </w:r>
      <w:proofErr w:type="spellEnd"/>
      <w:r w:rsidR="002A613A">
        <w:rPr>
          <w:vertAlign w:val="subscript"/>
        </w:rPr>
        <w:t xml:space="preserve"> </w:t>
      </w:r>
      <w:r w:rsidR="00195F42" w:rsidRPr="00195F42">
        <w:t xml:space="preserve">was </w:t>
      </w:r>
      <w:r w:rsidR="00195F42">
        <w:t xml:space="preserve">displayed in nm and the intensity in arbitrary units and the values were recorded in the lab notebook.  Next, the fluorescence intensity of the samples at the wavelength was determined by using the “point pick” feature located in the “manipulate” drop down menu.  In the “point pick” dialogue box, the </w:t>
      </w:r>
      <w:proofErr w:type="spellStart"/>
      <w:r w:rsidR="00195F42" w:rsidRPr="001F385A">
        <w:rPr>
          <w:rFonts w:ascii="Arial" w:hAnsi="Arial" w:cs="Arial"/>
        </w:rPr>
        <w:t>λ</w:t>
      </w:r>
      <w:r w:rsidR="00195F42" w:rsidRPr="001F385A">
        <w:rPr>
          <w:vertAlign w:val="subscript"/>
        </w:rPr>
        <w:t>max</w:t>
      </w:r>
      <w:proofErr w:type="spellEnd"/>
      <w:r w:rsidR="00195F42">
        <w:t xml:space="preserve"> was entered in box 1 and “OK” was pressed.  </w:t>
      </w:r>
      <w:r w:rsidR="001F265F">
        <w:t xml:space="preserve">The new dialog box was expanded and the wavelength and intensity was displayed.  A message appeared “Warning! No More Channels Available!” after ten data points </w:t>
      </w:r>
      <w:r w:rsidR="001F265F">
        <w:lastRenderedPageBreak/>
        <w:t>were collected which required the memory to be cleared.  The memory was cleared by selecting “file” from the drop down menu and “channel” was selected and then “erase channel” was selected.  The “all” was selected and “ok” was pressed.  Upon seeing “</w:t>
      </w:r>
      <w:r w:rsidR="001F265F" w:rsidRPr="001F265F">
        <w:t>Some Data Has NOT Been Saved To Disk! Do You Wish To Continue?</w:t>
      </w:r>
      <w:proofErr w:type="gramStart"/>
      <w:r w:rsidR="001F265F">
        <w:t>”,</w:t>
      </w:r>
      <w:proofErr w:type="gramEnd"/>
      <w:r w:rsidR="001F265F">
        <w:t xml:space="preserve"> the “yes” selected.  After analyzing all the quinine samples the instrument parameters were reset for </w:t>
      </w:r>
      <w:proofErr w:type="spellStart"/>
      <w:r w:rsidR="001F265F">
        <w:t>acridine</w:t>
      </w:r>
      <w:proofErr w:type="spellEnd"/>
      <w:r w:rsidR="001F265F">
        <w:t xml:space="preserve"> analysis.  The </w:t>
      </w:r>
      <w:proofErr w:type="spellStart"/>
      <w:r w:rsidR="001F265F">
        <w:t>acridine</w:t>
      </w:r>
      <w:proofErr w:type="spellEnd"/>
      <w:r w:rsidR="001F265F">
        <w:t xml:space="preserve"> parameters were set as follows:  spectrum type – emission; EX wavelength – 360 nm; </w:t>
      </w:r>
      <w:r w:rsidR="001F265F" w:rsidRPr="001F265F">
        <w:t>EM wavelength range – started at 400 and ended at 500; recording range – selected low at -50 and high 1000; scanned speed – fast; sampling interval: 1.0 nm; slit width – EX: 10 and EM: 3; sensitivity – high; and response time –</w:t>
      </w:r>
      <w:r w:rsidR="00F0173D">
        <w:t xml:space="preserve"> auto.  The above steps were repeated using </w:t>
      </w:r>
      <w:proofErr w:type="spellStart"/>
      <w:r w:rsidR="00F0173D">
        <w:t>acribine</w:t>
      </w:r>
      <w:proofErr w:type="spellEnd"/>
      <w:r w:rsidR="00F0173D">
        <w:t xml:space="preserve"> samples.  The fluorescence intensity of the eight </w:t>
      </w:r>
      <w:proofErr w:type="spellStart"/>
      <w:r w:rsidR="00F0173D">
        <w:t>acridine</w:t>
      </w:r>
      <w:proofErr w:type="spellEnd"/>
      <w:r w:rsidR="00F0173D">
        <w:t xml:space="preserve"> solutions w</w:t>
      </w:r>
      <w:r w:rsidR="009E38CE">
        <w:t>as</w:t>
      </w:r>
      <w:r w:rsidR="00F0173D">
        <w:t xml:space="preserve"> measured at 472 nm with an excitation wavelength of 360 nm.  </w:t>
      </w:r>
      <w:r w:rsidR="009E38CE">
        <w:t xml:space="preserve">Fluorescence intensity in the absence of quencher for all four </w:t>
      </w:r>
      <w:proofErr w:type="spellStart"/>
      <w:r w:rsidR="009E38CE">
        <w:t>fluorophore</w:t>
      </w:r>
      <w:proofErr w:type="spellEnd"/>
      <w:r w:rsidR="009E38CE">
        <w:t xml:space="preserve">/quencher combinations was plotted from the measured intensities.  </w:t>
      </w:r>
      <w:r w:rsidR="00DF4E79">
        <w:t>Stern-</w:t>
      </w:r>
      <w:proofErr w:type="spellStart"/>
      <w:r w:rsidR="00DF4E79">
        <w:t>Volmer</w:t>
      </w:r>
      <w:proofErr w:type="spellEnd"/>
      <w:r w:rsidR="00DF4E79">
        <w:t xml:space="preserve"> plots were created for all four </w:t>
      </w:r>
      <w:proofErr w:type="spellStart"/>
      <w:r w:rsidR="00DF4E79">
        <w:t>fluorphore</w:t>
      </w:r>
      <w:proofErr w:type="spellEnd"/>
      <w:r w:rsidR="00DF4E79">
        <w:t xml:space="preserve">/quencher combinations.  </w:t>
      </w:r>
      <w:r w:rsidR="007101D3">
        <w:t xml:space="preserve">An unknown solution was prepared by transferring 2 mL aliquots from the unknown sodium chloride/potassium bromide solution into two separate 25 mL volumetric flasks that contained </w:t>
      </w:r>
      <w:r w:rsidR="00D926F5">
        <w:t>2mL</w:t>
      </w:r>
      <w:r w:rsidR="007101D3" w:rsidRPr="004F3F3F">
        <w:t xml:space="preserve"> quinine or </w:t>
      </w:r>
      <w:r w:rsidR="00D926F5">
        <w:t>2 mL</w:t>
      </w:r>
      <w:r w:rsidR="007101D3">
        <w:t xml:space="preserve"> </w:t>
      </w:r>
      <w:r w:rsidR="007101D3" w:rsidRPr="004F3F3F">
        <w:t xml:space="preserve">of the </w:t>
      </w:r>
      <w:proofErr w:type="spellStart"/>
      <w:r w:rsidR="007101D3" w:rsidRPr="004F3F3F">
        <w:t>acridine</w:t>
      </w:r>
      <w:proofErr w:type="spellEnd"/>
      <w:r w:rsidR="007101D3" w:rsidRPr="004F3F3F">
        <w:t xml:space="preserve"> stock solution</w:t>
      </w:r>
      <w:r w:rsidR="007101D3">
        <w:t>, diluted</w:t>
      </w:r>
      <w:r w:rsidR="007101D3" w:rsidRPr="004F3F3F">
        <w:t xml:space="preserve"> to the mark with 0.5 M H</w:t>
      </w:r>
      <w:r w:rsidR="007101D3" w:rsidRPr="00150610">
        <w:rPr>
          <w:vertAlign w:val="subscript"/>
        </w:rPr>
        <w:t>2</w:t>
      </w:r>
      <w:r w:rsidR="007101D3" w:rsidRPr="004F3F3F">
        <w:t>SO</w:t>
      </w:r>
      <w:r w:rsidR="007101D3" w:rsidRPr="00150610">
        <w:rPr>
          <w:vertAlign w:val="subscript"/>
        </w:rPr>
        <w:t>4</w:t>
      </w:r>
      <w:r w:rsidR="007101D3">
        <w:rPr>
          <w:vertAlign w:val="subscript"/>
        </w:rPr>
        <w:t>.</w:t>
      </w:r>
      <w:r w:rsidR="007101D3">
        <w:t xml:space="preserve">  The fluorescence emission intensities were recorded for both quinine and </w:t>
      </w:r>
      <w:proofErr w:type="spellStart"/>
      <w:r w:rsidR="007101D3">
        <w:t>acridine</w:t>
      </w:r>
      <w:proofErr w:type="spellEnd"/>
      <w:r w:rsidR="007101D3">
        <w:t xml:space="preserve"> solutions using their respective spectrophotometer settings.  The cuvette was rinsed with an aliquot of </w:t>
      </w:r>
      <w:proofErr w:type="spellStart"/>
      <w:r w:rsidR="007101D3">
        <w:t>analyte</w:t>
      </w:r>
      <w:proofErr w:type="spellEnd"/>
      <w:r w:rsidR="007101D3">
        <w:t xml:space="preserve"> solution prior to each analysis.</w:t>
      </w:r>
      <w:r w:rsidR="00473002">
        <w:t xml:space="preserve">  </w:t>
      </w:r>
      <w:r w:rsidR="002D4595">
        <w:t>The unknown solution was titled 6/18/2013.</w:t>
      </w:r>
      <w:r w:rsidR="00473002">
        <w:t xml:space="preserve"> </w:t>
      </w:r>
    </w:p>
    <w:p w:rsidR="00954540" w:rsidRDefault="00954540" w:rsidP="002F0EAB">
      <w:pPr>
        <w:tabs>
          <w:tab w:val="left" w:pos="7740"/>
        </w:tabs>
        <w:spacing w:after="0" w:line="480" w:lineRule="auto"/>
        <w:contextualSpacing/>
        <w:rPr>
          <w:b/>
        </w:rPr>
      </w:pPr>
    </w:p>
    <w:p w:rsidR="00954540" w:rsidRDefault="00954540" w:rsidP="002F0EAB">
      <w:pPr>
        <w:tabs>
          <w:tab w:val="left" w:pos="7740"/>
        </w:tabs>
        <w:spacing w:after="0" w:line="480" w:lineRule="auto"/>
        <w:contextualSpacing/>
        <w:rPr>
          <w:b/>
        </w:rPr>
      </w:pPr>
    </w:p>
    <w:p w:rsidR="002F0EAB" w:rsidRDefault="0062783D" w:rsidP="002F0EAB">
      <w:pPr>
        <w:tabs>
          <w:tab w:val="left" w:pos="7740"/>
        </w:tabs>
        <w:spacing w:after="0" w:line="480" w:lineRule="auto"/>
        <w:contextualSpacing/>
        <w:rPr>
          <w:b/>
        </w:rPr>
      </w:pPr>
      <w:r w:rsidRPr="0062783D">
        <w:rPr>
          <w:b/>
        </w:rPr>
        <w:t>INSTRUMENTATION</w:t>
      </w:r>
    </w:p>
    <w:p w:rsidR="00036FEA" w:rsidRDefault="00EA1572" w:rsidP="002F0EAB">
      <w:pPr>
        <w:tabs>
          <w:tab w:val="left" w:pos="7740"/>
        </w:tabs>
        <w:spacing w:after="0" w:line="480" w:lineRule="auto"/>
        <w:contextualSpacing/>
      </w:pPr>
      <w:r>
        <w:lastRenderedPageBreak/>
        <w:t xml:space="preserve">  </w:t>
      </w:r>
      <w:r w:rsidR="00132A97">
        <w:t xml:space="preserve">   </w:t>
      </w:r>
      <w:r w:rsidR="00473002">
        <w:t>The R</w:t>
      </w:r>
      <w:r w:rsidR="00BC1A45" w:rsidRPr="00BC1A45">
        <w:t xml:space="preserve">F-5301PC </w:t>
      </w:r>
      <w:proofErr w:type="spellStart"/>
      <w:r w:rsidR="00BC1A45" w:rsidRPr="00BC1A45">
        <w:t>Spectrofluorophotometer</w:t>
      </w:r>
      <w:proofErr w:type="spellEnd"/>
      <w:r w:rsidR="00BC1A45" w:rsidRPr="00BC1A45">
        <w:t xml:space="preserve"> </w:t>
      </w:r>
      <w:r w:rsidR="00473002">
        <w:t xml:space="preserve">manufactured by </w:t>
      </w:r>
      <w:proofErr w:type="spellStart"/>
      <w:r w:rsidR="00BC1A45" w:rsidRPr="00BC1A45">
        <w:t>Shimadza</w:t>
      </w:r>
      <w:proofErr w:type="spellEnd"/>
      <w:r w:rsidR="00473002">
        <w:t xml:space="preserve"> of Kyoto, Japan was used in the experiment.  Also, the Xenon short arc lamp made by Ushio, Inc. of Tokyo, Japan was used to conduct the experiment.</w:t>
      </w:r>
    </w:p>
    <w:p w:rsidR="002F0EAB" w:rsidRDefault="00184115" w:rsidP="002F0EAB">
      <w:pPr>
        <w:tabs>
          <w:tab w:val="left" w:pos="7740"/>
        </w:tabs>
        <w:spacing w:after="0" w:line="480" w:lineRule="auto"/>
        <w:contextualSpacing/>
        <w:rPr>
          <w:b/>
          <w:u w:val="single"/>
        </w:rPr>
      </w:pPr>
      <w:r w:rsidRPr="00184115">
        <w:rPr>
          <w:b/>
          <w:u w:val="single"/>
        </w:rPr>
        <w:t>RESULTS</w:t>
      </w:r>
    </w:p>
    <w:p w:rsidR="00C35C78" w:rsidRDefault="00C35C78" w:rsidP="00B47278">
      <w:pPr>
        <w:tabs>
          <w:tab w:val="left" w:pos="7740"/>
        </w:tabs>
        <w:spacing w:after="0" w:line="240" w:lineRule="auto"/>
        <w:contextualSpacing/>
        <w:rPr>
          <w:b/>
        </w:rPr>
      </w:pPr>
      <w:r w:rsidRPr="00C35C78">
        <w:rPr>
          <w:b/>
        </w:rPr>
        <w:t>RAW DATA</w:t>
      </w:r>
    </w:p>
    <w:p w:rsidR="007012C8" w:rsidRDefault="007012C8" w:rsidP="00B47278">
      <w:pPr>
        <w:tabs>
          <w:tab w:val="left" w:pos="7740"/>
        </w:tabs>
        <w:spacing w:after="0" w:line="240" w:lineRule="auto"/>
        <w:contextualSpacing/>
        <w:rPr>
          <w:b/>
        </w:rPr>
      </w:pPr>
    </w:p>
    <w:p w:rsidR="007012C8" w:rsidRPr="007012C8" w:rsidRDefault="007012C8" w:rsidP="00B47278">
      <w:pPr>
        <w:tabs>
          <w:tab w:val="left" w:pos="7740"/>
        </w:tabs>
        <w:spacing w:after="0" w:line="240" w:lineRule="auto"/>
        <w:contextualSpacing/>
      </w:pPr>
      <w:r w:rsidRPr="007012C8">
        <w:t xml:space="preserve">Table 1. Quinine Solutions measured with no, </w:t>
      </w:r>
      <w:proofErr w:type="spellStart"/>
      <w:r w:rsidRPr="007012C8">
        <w:t>NaCl</w:t>
      </w:r>
      <w:proofErr w:type="spellEnd"/>
      <w:r w:rsidRPr="007012C8">
        <w:t xml:space="preserve"> and </w:t>
      </w:r>
      <w:proofErr w:type="spellStart"/>
      <w:r w:rsidRPr="007012C8">
        <w:t>KBr</w:t>
      </w:r>
      <w:proofErr w:type="spellEnd"/>
      <w:r w:rsidRPr="007012C8">
        <w:t xml:space="preserve"> concentrations with max wavelength of 450 nm with resulting intensities in </w:t>
      </w:r>
      <w:proofErr w:type="spellStart"/>
      <w:r w:rsidRPr="007012C8">
        <w:t>a.u</w:t>
      </w:r>
      <w:proofErr w:type="spellEnd"/>
      <w:r w:rsidRPr="007012C8">
        <w:t>.</w:t>
      </w:r>
    </w:p>
    <w:p w:rsidR="009F013C" w:rsidRDefault="009F013C" w:rsidP="00B47278">
      <w:pPr>
        <w:tabs>
          <w:tab w:val="left" w:pos="7740"/>
        </w:tabs>
        <w:spacing w:after="0" w:line="240" w:lineRule="auto"/>
        <w:contextualSpacing/>
        <w:rPr>
          <w:b/>
        </w:rPr>
      </w:pPr>
    </w:p>
    <w:tbl>
      <w:tblPr>
        <w:tblW w:w="7961" w:type="dxa"/>
        <w:tblInd w:w="93" w:type="dxa"/>
        <w:tblLook w:val="04A0" w:firstRow="1" w:lastRow="0" w:firstColumn="1" w:lastColumn="0" w:noHBand="0" w:noVBand="1"/>
      </w:tblPr>
      <w:tblGrid>
        <w:gridCol w:w="1185"/>
        <w:gridCol w:w="2340"/>
        <w:gridCol w:w="2535"/>
        <w:gridCol w:w="1901"/>
      </w:tblGrid>
      <w:tr w:rsidR="00BC1A45" w:rsidRPr="00BC1A45" w:rsidTr="00BC1A45">
        <w:trPr>
          <w:trHeight w:val="315"/>
        </w:trPr>
        <w:tc>
          <w:tcPr>
            <w:tcW w:w="1185" w:type="dxa"/>
            <w:tcBorders>
              <w:top w:val="nil"/>
              <w:left w:val="nil"/>
              <w:bottom w:val="nil"/>
            </w:tcBorders>
            <w:shd w:val="clear" w:color="auto" w:fill="auto"/>
            <w:noWrap/>
            <w:vAlign w:val="center"/>
            <w:hideMark/>
          </w:tcPr>
          <w:p w:rsidR="00BC1A45" w:rsidRPr="00BC1A45" w:rsidRDefault="00BC1A45" w:rsidP="00BC1A45">
            <w:pPr>
              <w:spacing w:after="0" w:line="240" w:lineRule="auto"/>
              <w:jc w:val="center"/>
              <w:rPr>
                <w:rFonts w:cs="Times New Roman"/>
                <w:bCs/>
                <w:color w:val="000000"/>
                <w:szCs w:val="24"/>
              </w:rPr>
            </w:pPr>
            <w:r w:rsidRPr="00BC1A45">
              <w:rPr>
                <w:rFonts w:cs="Times New Roman"/>
                <w:bCs/>
                <w:color w:val="000000"/>
                <w:szCs w:val="24"/>
              </w:rPr>
              <w:t>Solution</w:t>
            </w:r>
          </w:p>
        </w:tc>
        <w:tc>
          <w:tcPr>
            <w:tcW w:w="2340" w:type="dxa"/>
            <w:tcBorders>
              <w:top w:val="nil"/>
              <w:bottom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bCs/>
                <w:color w:val="000000"/>
                <w:szCs w:val="24"/>
              </w:rPr>
            </w:pPr>
            <w:r w:rsidRPr="00BC1A45">
              <w:rPr>
                <w:rFonts w:cs="Times New Roman"/>
                <w:bCs/>
                <w:color w:val="000000"/>
                <w:szCs w:val="24"/>
              </w:rPr>
              <w:t>Concentration (mL)</w:t>
            </w:r>
          </w:p>
        </w:tc>
        <w:tc>
          <w:tcPr>
            <w:tcW w:w="2535" w:type="dxa"/>
            <w:tcBorders>
              <w:top w:val="nil"/>
              <w:bottom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bCs/>
                <w:color w:val="000000"/>
                <w:szCs w:val="24"/>
              </w:rPr>
            </w:pPr>
            <w:r w:rsidRPr="00BC1A45">
              <w:rPr>
                <w:rFonts w:cs="Times New Roman"/>
                <w:bCs/>
                <w:color w:val="000000"/>
                <w:szCs w:val="24"/>
              </w:rPr>
              <w:t>Max Wavelength (nm)</w:t>
            </w:r>
          </w:p>
        </w:tc>
        <w:tc>
          <w:tcPr>
            <w:tcW w:w="1901" w:type="dxa"/>
            <w:tcBorders>
              <w:top w:val="nil"/>
              <w:bottom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bCs/>
                <w:color w:val="000000"/>
                <w:szCs w:val="24"/>
              </w:rPr>
            </w:pPr>
            <w:r w:rsidRPr="00BC1A45">
              <w:rPr>
                <w:rFonts w:cs="Times New Roman"/>
                <w:bCs/>
                <w:color w:val="000000"/>
                <w:szCs w:val="24"/>
              </w:rPr>
              <w:t>Intensity (</w:t>
            </w:r>
            <w:proofErr w:type="spellStart"/>
            <w:r w:rsidRPr="00BC1A45">
              <w:rPr>
                <w:rFonts w:cs="Times New Roman"/>
                <w:bCs/>
                <w:color w:val="000000"/>
                <w:szCs w:val="24"/>
              </w:rPr>
              <w:t>a.u</w:t>
            </w:r>
            <w:proofErr w:type="spellEnd"/>
            <w:r w:rsidRPr="00BC1A45">
              <w:rPr>
                <w:rFonts w:cs="Times New Roman"/>
                <w:bCs/>
                <w:color w:val="000000"/>
                <w:szCs w:val="24"/>
              </w:rPr>
              <w:t>.)</w:t>
            </w:r>
          </w:p>
        </w:tc>
      </w:tr>
      <w:tr w:rsidR="00BC1A45" w:rsidRPr="00BC1A45" w:rsidTr="00BC1A45">
        <w:trPr>
          <w:trHeight w:val="31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rPr>
                <w:rFonts w:cs="Times New Roman"/>
                <w:color w:val="000000"/>
                <w:szCs w:val="24"/>
              </w:rPr>
            </w:pPr>
            <w:r w:rsidRPr="00BC1A45">
              <w:rPr>
                <w:rFonts w:cs="Times New Roman"/>
                <w:color w:val="000000"/>
                <w:szCs w:val="24"/>
              </w:rPr>
              <w:t>N</w:t>
            </w:r>
            <w:r>
              <w:rPr>
                <w:rFonts w:cs="Times New Roman"/>
                <w:color w:val="000000"/>
                <w:szCs w:val="24"/>
              </w:rPr>
              <w:t>one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288.244</w:t>
            </w:r>
          </w:p>
        </w:tc>
      </w:tr>
      <w:tr w:rsidR="00BC1A45" w:rsidRPr="00BC1A45" w:rsidTr="00BC1A45">
        <w:trPr>
          <w:trHeight w:val="315"/>
        </w:trPr>
        <w:tc>
          <w:tcPr>
            <w:tcW w:w="11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1A45" w:rsidRPr="00BC1A45" w:rsidRDefault="00BC1A45" w:rsidP="00BC1A45">
            <w:pPr>
              <w:spacing w:after="0" w:line="240" w:lineRule="auto"/>
              <w:rPr>
                <w:rFonts w:cs="Times New Roman"/>
                <w:color w:val="000000"/>
                <w:szCs w:val="24"/>
              </w:rPr>
            </w:pPr>
            <w:proofErr w:type="spellStart"/>
            <w:r w:rsidRPr="00BC1A45">
              <w:rPr>
                <w:rFonts w:cs="Times New Roman"/>
                <w:color w:val="000000"/>
                <w:szCs w:val="24"/>
              </w:rPr>
              <w:t>NaCl</w:t>
            </w:r>
            <w:proofErr w:type="spellEnd"/>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0.00036</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290.24</w:t>
            </w:r>
          </w:p>
        </w:tc>
      </w:tr>
      <w:tr w:rsidR="00BC1A45" w:rsidRPr="00BC1A45" w:rsidTr="00BC1A45">
        <w:trPr>
          <w:trHeight w:val="315"/>
        </w:trPr>
        <w:tc>
          <w:tcPr>
            <w:tcW w:w="1185" w:type="dxa"/>
            <w:vMerge/>
            <w:tcBorders>
              <w:top w:val="single" w:sz="4" w:space="0" w:color="auto"/>
              <w:left w:val="single" w:sz="4" w:space="0" w:color="auto"/>
              <w:bottom w:val="single" w:sz="4" w:space="0" w:color="000000"/>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0.00072</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286.53</w:t>
            </w:r>
          </w:p>
        </w:tc>
      </w:tr>
      <w:tr w:rsidR="00BC1A45" w:rsidRPr="00BC1A45" w:rsidTr="00BC1A45">
        <w:trPr>
          <w:trHeight w:val="315"/>
        </w:trPr>
        <w:tc>
          <w:tcPr>
            <w:tcW w:w="1185" w:type="dxa"/>
            <w:vMerge/>
            <w:tcBorders>
              <w:top w:val="single" w:sz="4" w:space="0" w:color="auto"/>
              <w:left w:val="single" w:sz="4" w:space="0" w:color="auto"/>
              <w:bottom w:val="single" w:sz="4" w:space="0" w:color="000000"/>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0.00144</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268.375</w:t>
            </w:r>
          </w:p>
        </w:tc>
      </w:tr>
      <w:tr w:rsidR="00BC1A45" w:rsidRPr="00BC1A45" w:rsidTr="00BC1A45">
        <w:trPr>
          <w:trHeight w:val="315"/>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0.00216</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252.398</w:t>
            </w:r>
          </w:p>
        </w:tc>
      </w:tr>
      <w:tr w:rsidR="00BC1A45" w:rsidRPr="00BC1A45" w:rsidTr="00BC1A45">
        <w:trPr>
          <w:trHeight w:val="315"/>
        </w:trPr>
        <w:tc>
          <w:tcPr>
            <w:tcW w:w="11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1A45" w:rsidRPr="00BC1A45" w:rsidRDefault="00BC1A45" w:rsidP="00BC1A45">
            <w:pPr>
              <w:spacing w:after="0" w:line="240" w:lineRule="auto"/>
              <w:rPr>
                <w:rFonts w:cs="Times New Roman"/>
                <w:color w:val="000000"/>
                <w:szCs w:val="24"/>
              </w:rPr>
            </w:pPr>
            <w:proofErr w:type="spellStart"/>
            <w:r w:rsidRPr="00BC1A45">
              <w:rPr>
                <w:rFonts w:cs="Times New Roman"/>
                <w:color w:val="000000"/>
                <w:szCs w:val="24"/>
              </w:rPr>
              <w:t>KBr</w:t>
            </w:r>
            <w:proofErr w:type="spellEnd"/>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0.00036</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291.061</w:t>
            </w:r>
          </w:p>
        </w:tc>
      </w:tr>
      <w:tr w:rsidR="00BC1A45" w:rsidRPr="00BC1A45" w:rsidTr="00BC1A45">
        <w:trPr>
          <w:trHeight w:val="315"/>
        </w:trPr>
        <w:tc>
          <w:tcPr>
            <w:tcW w:w="1185" w:type="dxa"/>
            <w:vMerge/>
            <w:tcBorders>
              <w:top w:val="nil"/>
              <w:left w:val="single" w:sz="4" w:space="0" w:color="auto"/>
              <w:bottom w:val="single" w:sz="4" w:space="0" w:color="000000"/>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0.00072</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279.342</w:t>
            </w:r>
          </w:p>
        </w:tc>
      </w:tr>
      <w:tr w:rsidR="00BC1A45" w:rsidRPr="00BC1A45" w:rsidTr="00BC1A45">
        <w:trPr>
          <w:trHeight w:val="315"/>
        </w:trPr>
        <w:tc>
          <w:tcPr>
            <w:tcW w:w="1185" w:type="dxa"/>
            <w:vMerge/>
            <w:tcBorders>
              <w:top w:val="nil"/>
              <w:left w:val="single" w:sz="4" w:space="0" w:color="auto"/>
              <w:bottom w:val="single" w:sz="4" w:space="0" w:color="000000"/>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0.00144</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271.428</w:t>
            </w:r>
          </w:p>
        </w:tc>
      </w:tr>
      <w:tr w:rsidR="00BC1A45" w:rsidRPr="00BC1A45" w:rsidTr="00BC1A45">
        <w:trPr>
          <w:trHeight w:val="315"/>
        </w:trPr>
        <w:tc>
          <w:tcPr>
            <w:tcW w:w="1185" w:type="dxa"/>
            <w:vMerge/>
            <w:tcBorders>
              <w:top w:val="nil"/>
              <w:left w:val="single" w:sz="4" w:space="0" w:color="auto"/>
              <w:bottom w:val="single" w:sz="4" w:space="0" w:color="000000"/>
              <w:right w:val="single" w:sz="4" w:space="0" w:color="auto"/>
            </w:tcBorders>
            <w:vAlign w:val="center"/>
            <w:hideMark/>
          </w:tcPr>
          <w:p w:rsidR="00BC1A45" w:rsidRPr="00BC1A45" w:rsidRDefault="00BC1A45" w:rsidP="00BC1A45">
            <w:pPr>
              <w:spacing w:after="0" w:line="240" w:lineRule="auto"/>
              <w:rPr>
                <w:rFonts w:cs="Times New Roman"/>
                <w:color w:val="000000"/>
                <w:szCs w:val="24"/>
              </w:rPr>
            </w:pPr>
          </w:p>
        </w:tc>
        <w:tc>
          <w:tcPr>
            <w:tcW w:w="2340" w:type="dxa"/>
            <w:tcBorders>
              <w:top w:val="nil"/>
              <w:left w:val="nil"/>
              <w:bottom w:val="single" w:sz="4" w:space="0" w:color="auto"/>
              <w:right w:val="single" w:sz="4" w:space="0" w:color="auto"/>
            </w:tcBorders>
            <w:shd w:val="clear" w:color="auto" w:fill="auto"/>
            <w:noWrap/>
            <w:vAlign w:val="bottom"/>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0.00216</w:t>
            </w:r>
          </w:p>
        </w:tc>
        <w:tc>
          <w:tcPr>
            <w:tcW w:w="2535"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450</w:t>
            </w:r>
          </w:p>
        </w:tc>
        <w:tc>
          <w:tcPr>
            <w:tcW w:w="1901" w:type="dxa"/>
            <w:tcBorders>
              <w:top w:val="nil"/>
              <w:left w:val="nil"/>
              <w:bottom w:val="single" w:sz="4" w:space="0" w:color="auto"/>
              <w:right w:val="single" w:sz="4" w:space="0" w:color="auto"/>
            </w:tcBorders>
            <w:shd w:val="clear" w:color="auto" w:fill="auto"/>
            <w:noWrap/>
            <w:vAlign w:val="center"/>
            <w:hideMark/>
          </w:tcPr>
          <w:p w:rsidR="00BC1A45" w:rsidRPr="00BC1A45" w:rsidRDefault="00BC1A45" w:rsidP="00BC1A45">
            <w:pPr>
              <w:spacing w:after="0" w:line="240" w:lineRule="auto"/>
              <w:jc w:val="center"/>
              <w:rPr>
                <w:rFonts w:cs="Times New Roman"/>
                <w:color w:val="000000"/>
                <w:szCs w:val="24"/>
              </w:rPr>
            </w:pPr>
            <w:r w:rsidRPr="00BC1A45">
              <w:rPr>
                <w:rFonts w:cs="Times New Roman"/>
                <w:color w:val="000000"/>
                <w:szCs w:val="24"/>
              </w:rPr>
              <w:t>242.47</w:t>
            </w:r>
          </w:p>
        </w:tc>
      </w:tr>
    </w:tbl>
    <w:p w:rsidR="009F013C" w:rsidRDefault="009F013C" w:rsidP="00B47278">
      <w:pPr>
        <w:tabs>
          <w:tab w:val="left" w:pos="7740"/>
        </w:tabs>
        <w:spacing w:after="0" w:line="240" w:lineRule="auto"/>
        <w:contextualSpacing/>
        <w:rPr>
          <w:b/>
        </w:rPr>
      </w:pPr>
    </w:p>
    <w:p w:rsidR="007012C8" w:rsidRDefault="007012C8" w:rsidP="00B47278">
      <w:pPr>
        <w:tabs>
          <w:tab w:val="left" w:pos="7740"/>
        </w:tabs>
        <w:spacing w:after="0" w:line="240" w:lineRule="auto"/>
        <w:contextualSpacing/>
        <w:rPr>
          <w:b/>
        </w:rPr>
      </w:pPr>
    </w:p>
    <w:p w:rsidR="00BC1A45" w:rsidRPr="007012C8" w:rsidRDefault="007012C8" w:rsidP="00B47278">
      <w:pPr>
        <w:tabs>
          <w:tab w:val="left" w:pos="7740"/>
        </w:tabs>
        <w:spacing w:after="0" w:line="240" w:lineRule="auto"/>
        <w:contextualSpacing/>
      </w:pPr>
      <w:r w:rsidRPr="007012C8">
        <w:t xml:space="preserve">Table 2. </w:t>
      </w:r>
      <w:proofErr w:type="spellStart"/>
      <w:r w:rsidRPr="007012C8">
        <w:t>Acridine</w:t>
      </w:r>
      <w:proofErr w:type="spellEnd"/>
      <w:r w:rsidRPr="007012C8">
        <w:t xml:space="preserve"> Solutions measured with no, </w:t>
      </w:r>
      <w:proofErr w:type="spellStart"/>
      <w:r w:rsidRPr="007012C8">
        <w:t>NaCl</w:t>
      </w:r>
      <w:proofErr w:type="spellEnd"/>
      <w:r w:rsidRPr="007012C8">
        <w:t xml:space="preserve"> and </w:t>
      </w:r>
      <w:proofErr w:type="spellStart"/>
      <w:r w:rsidRPr="007012C8">
        <w:t>KBr</w:t>
      </w:r>
      <w:proofErr w:type="spellEnd"/>
      <w:r w:rsidRPr="007012C8">
        <w:t xml:space="preserve"> concentrations with max wavelength of 472 nm with resulting intensities in </w:t>
      </w:r>
      <w:proofErr w:type="spellStart"/>
      <w:r w:rsidRPr="007012C8">
        <w:t>a.u</w:t>
      </w:r>
      <w:proofErr w:type="spellEnd"/>
      <w:r w:rsidRPr="007012C8">
        <w:t>.</w:t>
      </w:r>
    </w:p>
    <w:p w:rsidR="00BC1A45" w:rsidRPr="007012C8" w:rsidRDefault="00BC1A45" w:rsidP="00B47278">
      <w:pPr>
        <w:tabs>
          <w:tab w:val="left" w:pos="7740"/>
        </w:tabs>
        <w:spacing w:after="0" w:line="240" w:lineRule="auto"/>
        <w:contextualSpacing/>
      </w:pPr>
    </w:p>
    <w:tbl>
      <w:tblPr>
        <w:tblStyle w:val="TableGrid"/>
        <w:tblW w:w="0" w:type="auto"/>
        <w:tblLook w:val="04A0" w:firstRow="1" w:lastRow="0" w:firstColumn="1" w:lastColumn="0" w:noHBand="0" w:noVBand="1"/>
      </w:tblPr>
      <w:tblGrid>
        <w:gridCol w:w="1278"/>
        <w:gridCol w:w="2340"/>
        <w:gridCol w:w="2520"/>
        <w:gridCol w:w="1980"/>
      </w:tblGrid>
      <w:tr w:rsidR="00BC1A45" w:rsidRPr="00BC1A45" w:rsidTr="00BC1A45">
        <w:trPr>
          <w:trHeight w:val="315"/>
        </w:trPr>
        <w:tc>
          <w:tcPr>
            <w:tcW w:w="1278" w:type="dxa"/>
            <w:tcBorders>
              <w:top w:val="nil"/>
              <w:left w:val="nil"/>
              <w:bottom w:val="single" w:sz="4" w:space="0" w:color="auto"/>
              <w:right w:val="nil"/>
            </w:tcBorders>
            <w:noWrap/>
            <w:hideMark/>
          </w:tcPr>
          <w:p w:rsidR="00BC1A45" w:rsidRPr="00BC1A45" w:rsidRDefault="00BC1A45" w:rsidP="00BC1A45">
            <w:pPr>
              <w:tabs>
                <w:tab w:val="left" w:pos="7740"/>
              </w:tabs>
              <w:contextualSpacing/>
              <w:rPr>
                <w:rFonts w:cs="Times New Roman"/>
                <w:bCs/>
                <w:szCs w:val="24"/>
              </w:rPr>
            </w:pPr>
            <w:r>
              <w:rPr>
                <w:rFonts w:cs="Times New Roman"/>
                <w:bCs/>
                <w:szCs w:val="24"/>
              </w:rPr>
              <w:t>Solution</w:t>
            </w:r>
          </w:p>
        </w:tc>
        <w:tc>
          <w:tcPr>
            <w:tcW w:w="2340" w:type="dxa"/>
            <w:tcBorders>
              <w:top w:val="nil"/>
              <w:left w:val="nil"/>
              <w:bottom w:val="single" w:sz="4" w:space="0" w:color="auto"/>
              <w:right w:val="nil"/>
            </w:tcBorders>
            <w:noWrap/>
            <w:hideMark/>
          </w:tcPr>
          <w:p w:rsidR="00BC1A45" w:rsidRPr="00BC1A45" w:rsidRDefault="00BC1A45" w:rsidP="00BC1A45">
            <w:pPr>
              <w:tabs>
                <w:tab w:val="left" w:pos="7740"/>
              </w:tabs>
              <w:contextualSpacing/>
              <w:rPr>
                <w:rFonts w:cs="Times New Roman"/>
                <w:bCs/>
                <w:szCs w:val="24"/>
              </w:rPr>
            </w:pPr>
            <w:r w:rsidRPr="00BC1A45">
              <w:rPr>
                <w:rFonts w:cs="Times New Roman"/>
                <w:bCs/>
                <w:szCs w:val="24"/>
              </w:rPr>
              <w:t>Concentration</w:t>
            </w:r>
            <w:r>
              <w:rPr>
                <w:rFonts w:cs="Times New Roman"/>
                <w:bCs/>
                <w:szCs w:val="24"/>
              </w:rPr>
              <w:t xml:space="preserve"> (mL)</w:t>
            </w:r>
          </w:p>
        </w:tc>
        <w:tc>
          <w:tcPr>
            <w:tcW w:w="2520" w:type="dxa"/>
            <w:tcBorders>
              <w:top w:val="nil"/>
              <w:left w:val="nil"/>
              <w:bottom w:val="single" w:sz="4" w:space="0" w:color="auto"/>
              <w:right w:val="nil"/>
            </w:tcBorders>
            <w:noWrap/>
            <w:hideMark/>
          </w:tcPr>
          <w:p w:rsidR="00BC1A45" w:rsidRPr="00BC1A45" w:rsidRDefault="00BC1A45" w:rsidP="00BC1A45">
            <w:pPr>
              <w:tabs>
                <w:tab w:val="left" w:pos="7740"/>
              </w:tabs>
              <w:contextualSpacing/>
              <w:rPr>
                <w:rFonts w:cs="Times New Roman"/>
                <w:bCs/>
                <w:szCs w:val="24"/>
              </w:rPr>
            </w:pPr>
            <w:r w:rsidRPr="00BC1A45">
              <w:rPr>
                <w:rFonts w:cs="Times New Roman"/>
                <w:bCs/>
                <w:szCs w:val="24"/>
              </w:rPr>
              <w:t>Max Wavelength (nm)</w:t>
            </w:r>
          </w:p>
        </w:tc>
        <w:tc>
          <w:tcPr>
            <w:tcW w:w="1980" w:type="dxa"/>
            <w:tcBorders>
              <w:top w:val="nil"/>
              <w:left w:val="nil"/>
              <w:bottom w:val="single" w:sz="4" w:space="0" w:color="auto"/>
              <w:right w:val="nil"/>
            </w:tcBorders>
            <w:noWrap/>
            <w:hideMark/>
          </w:tcPr>
          <w:p w:rsidR="00BC1A45" w:rsidRPr="00BC1A45" w:rsidRDefault="00BC1A45" w:rsidP="00BC1A45">
            <w:pPr>
              <w:tabs>
                <w:tab w:val="left" w:pos="7740"/>
              </w:tabs>
              <w:contextualSpacing/>
              <w:rPr>
                <w:rFonts w:cs="Times New Roman"/>
                <w:bCs/>
                <w:szCs w:val="24"/>
              </w:rPr>
            </w:pPr>
            <w:r w:rsidRPr="00BC1A45">
              <w:rPr>
                <w:rFonts w:cs="Times New Roman"/>
                <w:bCs/>
                <w:szCs w:val="24"/>
              </w:rPr>
              <w:t>Intensity (</w:t>
            </w:r>
            <w:proofErr w:type="spellStart"/>
            <w:r w:rsidRPr="00BC1A45">
              <w:rPr>
                <w:rFonts w:cs="Times New Roman"/>
                <w:bCs/>
                <w:szCs w:val="24"/>
              </w:rPr>
              <w:t>a.u</w:t>
            </w:r>
            <w:proofErr w:type="spellEnd"/>
            <w:r w:rsidRPr="00BC1A45">
              <w:rPr>
                <w:rFonts w:cs="Times New Roman"/>
                <w:bCs/>
                <w:szCs w:val="24"/>
              </w:rPr>
              <w:t>.)</w:t>
            </w:r>
          </w:p>
        </w:tc>
      </w:tr>
      <w:tr w:rsidR="00BC1A45" w:rsidRPr="00BC1A45" w:rsidTr="00BC1A45">
        <w:trPr>
          <w:trHeight w:val="315"/>
        </w:trPr>
        <w:tc>
          <w:tcPr>
            <w:tcW w:w="1278" w:type="dxa"/>
            <w:tcBorders>
              <w:top w:val="single" w:sz="4" w:space="0" w:color="auto"/>
            </w:tcBorders>
            <w:noWrap/>
            <w:hideMark/>
          </w:tcPr>
          <w:p w:rsidR="00BC1A45" w:rsidRPr="00BC1A45" w:rsidRDefault="00BC1A45" w:rsidP="00BC1A45">
            <w:pPr>
              <w:tabs>
                <w:tab w:val="left" w:pos="7740"/>
              </w:tabs>
              <w:contextualSpacing/>
              <w:rPr>
                <w:rFonts w:cs="Times New Roman"/>
                <w:szCs w:val="24"/>
              </w:rPr>
            </w:pPr>
            <w:r>
              <w:rPr>
                <w:rFonts w:cs="Times New Roman"/>
                <w:szCs w:val="24"/>
              </w:rPr>
              <w:t>None</w:t>
            </w:r>
          </w:p>
        </w:tc>
        <w:tc>
          <w:tcPr>
            <w:tcW w:w="2340" w:type="dxa"/>
            <w:tcBorders>
              <w:top w:val="single" w:sz="4" w:space="0" w:color="auto"/>
            </w:tcBorders>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w:t>
            </w:r>
          </w:p>
        </w:tc>
        <w:tc>
          <w:tcPr>
            <w:tcW w:w="2520" w:type="dxa"/>
            <w:tcBorders>
              <w:top w:val="single" w:sz="4" w:space="0" w:color="auto"/>
            </w:tcBorders>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tcBorders>
              <w:top w:val="single" w:sz="4" w:space="0" w:color="auto"/>
            </w:tcBorders>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268.613</w:t>
            </w:r>
          </w:p>
        </w:tc>
      </w:tr>
      <w:tr w:rsidR="00BC1A45" w:rsidRPr="00BC1A45" w:rsidTr="00BC1A45">
        <w:trPr>
          <w:trHeight w:val="315"/>
        </w:trPr>
        <w:tc>
          <w:tcPr>
            <w:tcW w:w="1278" w:type="dxa"/>
            <w:vMerge w:val="restart"/>
            <w:noWrap/>
            <w:hideMark/>
          </w:tcPr>
          <w:p w:rsidR="00BC1A45" w:rsidRDefault="00BC1A45" w:rsidP="00BC1A45">
            <w:pPr>
              <w:tabs>
                <w:tab w:val="left" w:pos="7740"/>
              </w:tabs>
              <w:contextualSpacing/>
              <w:rPr>
                <w:rFonts w:cs="Times New Roman"/>
                <w:szCs w:val="24"/>
              </w:rPr>
            </w:pPr>
          </w:p>
          <w:p w:rsidR="00BC1A45" w:rsidRDefault="00BC1A45" w:rsidP="00BC1A45">
            <w:pPr>
              <w:tabs>
                <w:tab w:val="left" w:pos="7740"/>
              </w:tabs>
              <w:contextualSpacing/>
              <w:rPr>
                <w:rFonts w:cs="Times New Roman"/>
                <w:szCs w:val="24"/>
              </w:rPr>
            </w:pPr>
          </w:p>
          <w:p w:rsidR="00BC1A45" w:rsidRPr="00BC1A45" w:rsidRDefault="00BC1A45" w:rsidP="00BC1A45">
            <w:pPr>
              <w:tabs>
                <w:tab w:val="left" w:pos="7740"/>
              </w:tabs>
              <w:contextualSpacing/>
              <w:rPr>
                <w:rFonts w:cs="Times New Roman"/>
                <w:szCs w:val="24"/>
              </w:rPr>
            </w:pPr>
            <w:proofErr w:type="spellStart"/>
            <w:r w:rsidRPr="00BC1A45">
              <w:rPr>
                <w:rFonts w:cs="Times New Roman"/>
                <w:szCs w:val="24"/>
              </w:rPr>
              <w:t>NaCl</w:t>
            </w:r>
            <w:proofErr w:type="spellEnd"/>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0.00036</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271.23</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0.00072</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275.235</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0.00144</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276.027</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0.00216</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272.125</w:t>
            </w:r>
          </w:p>
        </w:tc>
      </w:tr>
      <w:tr w:rsidR="00BC1A45" w:rsidRPr="00BC1A45" w:rsidTr="00BC1A45">
        <w:trPr>
          <w:trHeight w:val="315"/>
        </w:trPr>
        <w:tc>
          <w:tcPr>
            <w:tcW w:w="1278" w:type="dxa"/>
            <w:vMerge w:val="restart"/>
            <w:noWrap/>
            <w:hideMark/>
          </w:tcPr>
          <w:p w:rsidR="00BC1A45" w:rsidRDefault="00BC1A45" w:rsidP="00BC1A45">
            <w:pPr>
              <w:tabs>
                <w:tab w:val="left" w:pos="7740"/>
              </w:tabs>
              <w:contextualSpacing/>
              <w:rPr>
                <w:rFonts w:cs="Times New Roman"/>
                <w:szCs w:val="24"/>
              </w:rPr>
            </w:pPr>
          </w:p>
          <w:p w:rsidR="00BC1A45" w:rsidRDefault="00BC1A45" w:rsidP="00BC1A45">
            <w:pPr>
              <w:tabs>
                <w:tab w:val="left" w:pos="7740"/>
              </w:tabs>
              <w:contextualSpacing/>
              <w:rPr>
                <w:rFonts w:cs="Times New Roman"/>
                <w:szCs w:val="24"/>
              </w:rPr>
            </w:pPr>
          </w:p>
          <w:p w:rsidR="00BC1A45" w:rsidRPr="00BC1A45" w:rsidRDefault="00BC1A45" w:rsidP="00BC1A45">
            <w:pPr>
              <w:tabs>
                <w:tab w:val="left" w:pos="7740"/>
              </w:tabs>
              <w:contextualSpacing/>
              <w:rPr>
                <w:rFonts w:cs="Times New Roman"/>
                <w:szCs w:val="24"/>
              </w:rPr>
            </w:pPr>
            <w:proofErr w:type="spellStart"/>
            <w:r w:rsidRPr="00BC1A45">
              <w:rPr>
                <w:rFonts w:cs="Times New Roman"/>
                <w:szCs w:val="24"/>
              </w:rPr>
              <w:t>KBr</w:t>
            </w:r>
            <w:proofErr w:type="spellEnd"/>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0.00036</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261.889</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0.00072</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236.971</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0.00144</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199.668</w:t>
            </w:r>
          </w:p>
        </w:tc>
      </w:tr>
      <w:tr w:rsidR="00BC1A45" w:rsidRPr="00BC1A45" w:rsidTr="00BC1A45">
        <w:trPr>
          <w:trHeight w:val="315"/>
        </w:trPr>
        <w:tc>
          <w:tcPr>
            <w:tcW w:w="1278" w:type="dxa"/>
            <w:vMerge/>
            <w:hideMark/>
          </w:tcPr>
          <w:p w:rsidR="00BC1A45" w:rsidRPr="00BC1A45" w:rsidRDefault="00BC1A45" w:rsidP="00BC1A45">
            <w:pPr>
              <w:tabs>
                <w:tab w:val="left" w:pos="7740"/>
              </w:tabs>
              <w:contextualSpacing/>
              <w:rPr>
                <w:rFonts w:cs="Times New Roman"/>
                <w:szCs w:val="24"/>
              </w:rPr>
            </w:pPr>
          </w:p>
        </w:tc>
        <w:tc>
          <w:tcPr>
            <w:tcW w:w="234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0.00216</w:t>
            </w:r>
          </w:p>
        </w:tc>
        <w:tc>
          <w:tcPr>
            <w:tcW w:w="252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472</w:t>
            </w:r>
          </w:p>
        </w:tc>
        <w:tc>
          <w:tcPr>
            <w:tcW w:w="1980" w:type="dxa"/>
            <w:noWrap/>
            <w:hideMark/>
          </w:tcPr>
          <w:p w:rsidR="00BC1A45" w:rsidRPr="00BC1A45" w:rsidRDefault="00BC1A45" w:rsidP="000144CB">
            <w:pPr>
              <w:tabs>
                <w:tab w:val="left" w:pos="7740"/>
              </w:tabs>
              <w:contextualSpacing/>
              <w:jc w:val="center"/>
              <w:rPr>
                <w:rFonts w:cs="Times New Roman"/>
                <w:szCs w:val="24"/>
              </w:rPr>
            </w:pPr>
            <w:r w:rsidRPr="00BC1A45">
              <w:rPr>
                <w:rFonts w:cs="Times New Roman"/>
                <w:szCs w:val="24"/>
              </w:rPr>
              <w:t>171.076</w:t>
            </w:r>
          </w:p>
        </w:tc>
      </w:tr>
    </w:tbl>
    <w:p w:rsidR="00BC1A45" w:rsidRDefault="00BC1A45" w:rsidP="00B47278">
      <w:pPr>
        <w:tabs>
          <w:tab w:val="left" w:pos="7740"/>
        </w:tabs>
        <w:spacing w:after="0" w:line="240" w:lineRule="auto"/>
        <w:contextualSpacing/>
        <w:rPr>
          <w:b/>
        </w:rPr>
      </w:pPr>
    </w:p>
    <w:p w:rsidR="007012C8" w:rsidRDefault="007012C8" w:rsidP="00B47278">
      <w:pPr>
        <w:tabs>
          <w:tab w:val="left" w:pos="7740"/>
        </w:tabs>
        <w:spacing w:after="0" w:line="240" w:lineRule="auto"/>
        <w:contextualSpacing/>
      </w:pPr>
    </w:p>
    <w:p w:rsidR="00954540" w:rsidRDefault="00954540" w:rsidP="00B47278">
      <w:pPr>
        <w:tabs>
          <w:tab w:val="left" w:pos="7740"/>
        </w:tabs>
        <w:spacing w:after="0" w:line="240" w:lineRule="auto"/>
        <w:contextualSpacing/>
      </w:pPr>
    </w:p>
    <w:p w:rsidR="007012C8" w:rsidRPr="007012C8" w:rsidRDefault="007012C8" w:rsidP="00B47278">
      <w:pPr>
        <w:tabs>
          <w:tab w:val="left" w:pos="7740"/>
        </w:tabs>
        <w:spacing w:after="0" w:line="240" w:lineRule="auto"/>
        <w:contextualSpacing/>
      </w:pPr>
      <w:r w:rsidRPr="007012C8">
        <w:t xml:space="preserve">Table 3. </w:t>
      </w:r>
      <w:r>
        <w:t xml:space="preserve"> Unknowns with Quinine and </w:t>
      </w:r>
      <w:proofErr w:type="spellStart"/>
      <w:r>
        <w:t>Acridine</w:t>
      </w:r>
      <w:proofErr w:type="spellEnd"/>
      <w:r>
        <w:t xml:space="preserve"> with max wavelength (nm) and intensities (</w:t>
      </w:r>
      <w:proofErr w:type="spellStart"/>
      <w:r>
        <w:t>a.u</w:t>
      </w:r>
      <w:proofErr w:type="spellEnd"/>
      <w:r>
        <w:t>.).</w:t>
      </w:r>
    </w:p>
    <w:p w:rsidR="00BC1A45" w:rsidRDefault="00BC1A45" w:rsidP="00B47278">
      <w:pPr>
        <w:tabs>
          <w:tab w:val="left" w:pos="7740"/>
        </w:tabs>
        <w:spacing w:after="0" w:line="240" w:lineRule="auto"/>
        <w:contextualSpacing/>
        <w:rPr>
          <w:b/>
        </w:rPr>
      </w:pPr>
    </w:p>
    <w:tbl>
      <w:tblPr>
        <w:tblStyle w:val="TableGrid"/>
        <w:tblW w:w="0" w:type="auto"/>
        <w:tblLook w:val="04A0" w:firstRow="1" w:lastRow="0" w:firstColumn="1" w:lastColumn="0" w:noHBand="0" w:noVBand="1"/>
      </w:tblPr>
      <w:tblGrid>
        <w:gridCol w:w="2988"/>
        <w:gridCol w:w="2790"/>
        <w:gridCol w:w="2340"/>
      </w:tblGrid>
      <w:tr w:rsidR="007012C8" w:rsidRPr="00BC1A45" w:rsidTr="007012C8">
        <w:trPr>
          <w:trHeight w:val="315"/>
        </w:trPr>
        <w:tc>
          <w:tcPr>
            <w:tcW w:w="2988" w:type="dxa"/>
            <w:tcBorders>
              <w:top w:val="nil"/>
              <w:left w:val="nil"/>
              <w:bottom w:val="single" w:sz="4" w:space="0" w:color="auto"/>
              <w:right w:val="nil"/>
            </w:tcBorders>
            <w:noWrap/>
            <w:hideMark/>
          </w:tcPr>
          <w:p w:rsidR="007012C8" w:rsidRPr="00BC1A45" w:rsidRDefault="007012C8" w:rsidP="00F45848">
            <w:pPr>
              <w:tabs>
                <w:tab w:val="left" w:pos="7740"/>
              </w:tabs>
              <w:contextualSpacing/>
              <w:rPr>
                <w:rFonts w:cs="Times New Roman"/>
                <w:bCs/>
                <w:szCs w:val="24"/>
              </w:rPr>
            </w:pPr>
            <w:r>
              <w:rPr>
                <w:rFonts w:cs="Times New Roman"/>
                <w:bCs/>
                <w:szCs w:val="24"/>
              </w:rPr>
              <w:lastRenderedPageBreak/>
              <w:t>Solution</w:t>
            </w:r>
          </w:p>
        </w:tc>
        <w:tc>
          <w:tcPr>
            <w:tcW w:w="2790" w:type="dxa"/>
            <w:tcBorders>
              <w:top w:val="nil"/>
              <w:left w:val="nil"/>
              <w:bottom w:val="single" w:sz="4" w:space="0" w:color="auto"/>
              <w:right w:val="nil"/>
            </w:tcBorders>
            <w:noWrap/>
            <w:hideMark/>
          </w:tcPr>
          <w:p w:rsidR="007012C8" w:rsidRPr="00BC1A45" w:rsidRDefault="007012C8" w:rsidP="007012C8">
            <w:pPr>
              <w:tabs>
                <w:tab w:val="left" w:pos="7740"/>
              </w:tabs>
              <w:contextualSpacing/>
              <w:jc w:val="center"/>
              <w:rPr>
                <w:rFonts w:cs="Times New Roman"/>
                <w:bCs/>
                <w:szCs w:val="24"/>
              </w:rPr>
            </w:pPr>
            <w:r w:rsidRPr="00BC1A45">
              <w:rPr>
                <w:rFonts w:cs="Times New Roman"/>
                <w:bCs/>
                <w:szCs w:val="24"/>
              </w:rPr>
              <w:t>Max Wavelength (nm)</w:t>
            </w:r>
          </w:p>
        </w:tc>
        <w:tc>
          <w:tcPr>
            <w:tcW w:w="2340" w:type="dxa"/>
            <w:tcBorders>
              <w:top w:val="nil"/>
              <w:left w:val="nil"/>
              <w:bottom w:val="single" w:sz="4" w:space="0" w:color="auto"/>
              <w:right w:val="nil"/>
            </w:tcBorders>
            <w:noWrap/>
            <w:hideMark/>
          </w:tcPr>
          <w:p w:rsidR="007012C8" w:rsidRPr="00BC1A45" w:rsidRDefault="007012C8" w:rsidP="007012C8">
            <w:pPr>
              <w:tabs>
                <w:tab w:val="left" w:pos="7740"/>
              </w:tabs>
              <w:contextualSpacing/>
              <w:jc w:val="center"/>
              <w:rPr>
                <w:rFonts w:cs="Times New Roman"/>
                <w:bCs/>
                <w:szCs w:val="24"/>
              </w:rPr>
            </w:pPr>
            <w:r w:rsidRPr="00BC1A45">
              <w:rPr>
                <w:rFonts w:cs="Times New Roman"/>
                <w:bCs/>
                <w:szCs w:val="24"/>
              </w:rPr>
              <w:t>Intensity (</w:t>
            </w:r>
            <w:proofErr w:type="spellStart"/>
            <w:r w:rsidRPr="00BC1A45">
              <w:rPr>
                <w:rFonts w:cs="Times New Roman"/>
                <w:bCs/>
                <w:szCs w:val="24"/>
              </w:rPr>
              <w:t>a.u</w:t>
            </w:r>
            <w:proofErr w:type="spellEnd"/>
            <w:r w:rsidRPr="00BC1A45">
              <w:rPr>
                <w:rFonts w:cs="Times New Roman"/>
                <w:bCs/>
                <w:szCs w:val="24"/>
              </w:rPr>
              <w:t>.)</w:t>
            </w:r>
          </w:p>
        </w:tc>
      </w:tr>
      <w:tr w:rsidR="007012C8" w:rsidRPr="00BC1A45" w:rsidTr="007012C8">
        <w:trPr>
          <w:trHeight w:val="315"/>
        </w:trPr>
        <w:tc>
          <w:tcPr>
            <w:tcW w:w="2988" w:type="dxa"/>
            <w:tcBorders>
              <w:top w:val="single" w:sz="4" w:space="0" w:color="auto"/>
              <w:bottom w:val="single" w:sz="4" w:space="0" w:color="auto"/>
            </w:tcBorders>
            <w:noWrap/>
            <w:hideMark/>
          </w:tcPr>
          <w:p w:rsidR="007012C8" w:rsidRPr="00BC1A45" w:rsidRDefault="007012C8" w:rsidP="00F45848">
            <w:pPr>
              <w:tabs>
                <w:tab w:val="left" w:pos="7740"/>
              </w:tabs>
              <w:contextualSpacing/>
              <w:rPr>
                <w:rFonts w:cs="Times New Roman"/>
                <w:szCs w:val="24"/>
              </w:rPr>
            </w:pPr>
            <w:r>
              <w:rPr>
                <w:rFonts w:cs="Times New Roman"/>
                <w:szCs w:val="24"/>
              </w:rPr>
              <w:t>Unknown with Quinine</w:t>
            </w:r>
          </w:p>
        </w:tc>
        <w:tc>
          <w:tcPr>
            <w:tcW w:w="2790" w:type="dxa"/>
            <w:tcBorders>
              <w:top w:val="single" w:sz="4" w:space="0" w:color="auto"/>
              <w:bottom w:val="single" w:sz="4" w:space="0" w:color="auto"/>
            </w:tcBorders>
            <w:noWrap/>
            <w:hideMark/>
          </w:tcPr>
          <w:p w:rsidR="007012C8" w:rsidRPr="00BC1A45" w:rsidRDefault="007012C8" w:rsidP="00F45848">
            <w:pPr>
              <w:tabs>
                <w:tab w:val="left" w:pos="7740"/>
              </w:tabs>
              <w:contextualSpacing/>
              <w:jc w:val="center"/>
              <w:rPr>
                <w:rFonts w:cs="Times New Roman"/>
                <w:szCs w:val="24"/>
              </w:rPr>
            </w:pPr>
            <w:r>
              <w:rPr>
                <w:rFonts w:cs="Times New Roman"/>
                <w:szCs w:val="24"/>
              </w:rPr>
              <w:t>450</w:t>
            </w:r>
          </w:p>
        </w:tc>
        <w:tc>
          <w:tcPr>
            <w:tcW w:w="2340" w:type="dxa"/>
            <w:tcBorders>
              <w:top w:val="single" w:sz="4" w:space="0" w:color="auto"/>
              <w:bottom w:val="single" w:sz="4" w:space="0" w:color="auto"/>
            </w:tcBorders>
            <w:noWrap/>
            <w:hideMark/>
          </w:tcPr>
          <w:p w:rsidR="007012C8" w:rsidRPr="00BC1A45" w:rsidRDefault="007012C8" w:rsidP="00F45848">
            <w:pPr>
              <w:tabs>
                <w:tab w:val="left" w:pos="7740"/>
              </w:tabs>
              <w:contextualSpacing/>
              <w:jc w:val="center"/>
              <w:rPr>
                <w:rFonts w:cs="Times New Roman"/>
                <w:szCs w:val="24"/>
              </w:rPr>
            </w:pPr>
            <w:r w:rsidRPr="007012C8">
              <w:rPr>
                <w:rFonts w:cs="Times New Roman"/>
                <w:szCs w:val="24"/>
              </w:rPr>
              <w:t>249.860</w:t>
            </w:r>
          </w:p>
        </w:tc>
      </w:tr>
      <w:tr w:rsidR="007012C8" w:rsidRPr="00BC1A45" w:rsidTr="007012C8">
        <w:trPr>
          <w:trHeight w:val="315"/>
        </w:trPr>
        <w:tc>
          <w:tcPr>
            <w:tcW w:w="2988" w:type="dxa"/>
            <w:tcBorders>
              <w:top w:val="single" w:sz="4" w:space="0" w:color="auto"/>
            </w:tcBorders>
            <w:noWrap/>
          </w:tcPr>
          <w:p w:rsidR="007012C8" w:rsidRDefault="007012C8" w:rsidP="007012C8">
            <w:pPr>
              <w:tabs>
                <w:tab w:val="left" w:pos="7740"/>
              </w:tabs>
              <w:contextualSpacing/>
              <w:rPr>
                <w:rFonts w:cs="Times New Roman"/>
                <w:szCs w:val="24"/>
              </w:rPr>
            </w:pPr>
            <w:r>
              <w:rPr>
                <w:rFonts w:cs="Times New Roman"/>
                <w:szCs w:val="24"/>
              </w:rPr>
              <w:t xml:space="preserve">Unknown with </w:t>
            </w:r>
            <w:proofErr w:type="spellStart"/>
            <w:r>
              <w:rPr>
                <w:rFonts w:cs="Times New Roman"/>
                <w:szCs w:val="24"/>
              </w:rPr>
              <w:t>Acridine</w:t>
            </w:r>
            <w:proofErr w:type="spellEnd"/>
          </w:p>
        </w:tc>
        <w:tc>
          <w:tcPr>
            <w:tcW w:w="2790" w:type="dxa"/>
            <w:tcBorders>
              <w:top w:val="single" w:sz="4" w:space="0" w:color="auto"/>
            </w:tcBorders>
            <w:noWrap/>
          </w:tcPr>
          <w:p w:rsidR="007012C8" w:rsidRPr="00BC1A45" w:rsidRDefault="007012C8" w:rsidP="00F45848">
            <w:pPr>
              <w:tabs>
                <w:tab w:val="left" w:pos="7740"/>
              </w:tabs>
              <w:contextualSpacing/>
              <w:jc w:val="center"/>
              <w:rPr>
                <w:rFonts w:cs="Times New Roman"/>
                <w:szCs w:val="24"/>
              </w:rPr>
            </w:pPr>
            <w:r>
              <w:rPr>
                <w:rFonts w:cs="Times New Roman"/>
                <w:szCs w:val="24"/>
              </w:rPr>
              <w:t>472</w:t>
            </w:r>
          </w:p>
        </w:tc>
        <w:tc>
          <w:tcPr>
            <w:tcW w:w="2340" w:type="dxa"/>
            <w:tcBorders>
              <w:top w:val="single" w:sz="4" w:space="0" w:color="auto"/>
            </w:tcBorders>
            <w:noWrap/>
          </w:tcPr>
          <w:p w:rsidR="007012C8" w:rsidRPr="00BC1A45" w:rsidRDefault="007012C8" w:rsidP="00F45848">
            <w:pPr>
              <w:tabs>
                <w:tab w:val="left" w:pos="7740"/>
              </w:tabs>
              <w:contextualSpacing/>
              <w:jc w:val="center"/>
              <w:rPr>
                <w:rFonts w:cs="Times New Roman"/>
                <w:szCs w:val="24"/>
              </w:rPr>
            </w:pPr>
            <w:r w:rsidRPr="007012C8">
              <w:rPr>
                <w:rFonts w:cs="Times New Roman"/>
                <w:szCs w:val="24"/>
              </w:rPr>
              <w:t>206.788</w:t>
            </w:r>
          </w:p>
        </w:tc>
      </w:tr>
    </w:tbl>
    <w:p w:rsidR="00BC1A45" w:rsidRDefault="00BC1A45" w:rsidP="00B47278">
      <w:pPr>
        <w:tabs>
          <w:tab w:val="left" w:pos="7740"/>
        </w:tabs>
        <w:spacing w:after="0" w:line="240" w:lineRule="auto"/>
        <w:contextualSpacing/>
        <w:rPr>
          <w:b/>
        </w:rPr>
      </w:pPr>
    </w:p>
    <w:p w:rsidR="00BC1A45" w:rsidRDefault="00BC1A45" w:rsidP="00B47278">
      <w:pPr>
        <w:tabs>
          <w:tab w:val="left" w:pos="7740"/>
        </w:tabs>
        <w:spacing w:after="0" w:line="240" w:lineRule="auto"/>
        <w:contextualSpacing/>
        <w:rPr>
          <w:b/>
        </w:rPr>
      </w:pPr>
    </w:p>
    <w:p w:rsidR="00BC1A45" w:rsidRDefault="00BC1A45" w:rsidP="00B47278">
      <w:pPr>
        <w:tabs>
          <w:tab w:val="left" w:pos="7740"/>
        </w:tabs>
        <w:spacing w:after="0" w:line="240" w:lineRule="auto"/>
        <w:contextualSpacing/>
        <w:rPr>
          <w:b/>
        </w:rPr>
      </w:pPr>
    </w:p>
    <w:p w:rsidR="00BC1A45" w:rsidRDefault="00BC1A45" w:rsidP="00B47278">
      <w:pPr>
        <w:tabs>
          <w:tab w:val="left" w:pos="7740"/>
        </w:tabs>
        <w:spacing w:after="0" w:line="240" w:lineRule="auto"/>
        <w:contextualSpacing/>
        <w:rPr>
          <w:b/>
        </w:rPr>
      </w:pPr>
    </w:p>
    <w:p w:rsidR="00994B32" w:rsidRDefault="00994B32" w:rsidP="00B47278">
      <w:pPr>
        <w:tabs>
          <w:tab w:val="left" w:pos="7740"/>
        </w:tabs>
        <w:spacing w:after="0" w:line="240" w:lineRule="auto"/>
        <w:contextualSpacing/>
        <w:rPr>
          <w:b/>
        </w:rPr>
      </w:pPr>
      <w:r>
        <w:rPr>
          <w:b/>
        </w:rPr>
        <w:t>GRAPHS</w:t>
      </w:r>
    </w:p>
    <w:p w:rsidR="0077326A" w:rsidRDefault="0077326A" w:rsidP="00B47278">
      <w:pPr>
        <w:tabs>
          <w:tab w:val="left" w:pos="7740"/>
        </w:tabs>
        <w:spacing w:after="0" w:line="240" w:lineRule="auto"/>
        <w:contextualSpacing/>
        <w:rPr>
          <w:b/>
        </w:rPr>
      </w:pPr>
    </w:p>
    <w:p w:rsidR="00994B32" w:rsidRDefault="00994B32" w:rsidP="00B47278">
      <w:pPr>
        <w:tabs>
          <w:tab w:val="left" w:pos="7740"/>
        </w:tabs>
        <w:spacing w:after="0" w:line="240" w:lineRule="auto"/>
        <w:contextualSpacing/>
        <w:rPr>
          <w:b/>
        </w:rPr>
      </w:pPr>
    </w:p>
    <w:p w:rsidR="00C35C78" w:rsidRDefault="00DB520D" w:rsidP="00B47278">
      <w:pPr>
        <w:tabs>
          <w:tab w:val="left" w:pos="7740"/>
        </w:tabs>
        <w:spacing w:after="0" w:line="240" w:lineRule="auto"/>
        <w:contextualSpacing/>
      </w:pPr>
      <w:r>
        <w:rPr>
          <w:noProof/>
        </w:rPr>
        <w:drawing>
          <wp:inline distT="0" distB="0" distL="0" distR="0" wp14:anchorId="403A5081" wp14:editId="68E6E12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012C8" w:rsidRDefault="007012C8" w:rsidP="00B47278">
      <w:pPr>
        <w:tabs>
          <w:tab w:val="left" w:pos="7740"/>
        </w:tabs>
        <w:spacing w:after="0" w:line="240" w:lineRule="auto"/>
        <w:contextualSpacing/>
      </w:pPr>
    </w:p>
    <w:p w:rsidR="007012C8" w:rsidRDefault="007012C8" w:rsidP="00B47278">
      <w:pPr>
        <w:tabs>
          <w:tab w:val="left" w:pos="7740"/>
        </w:tabs>
        <w:spacing w:after="0" w:line="240" w:lineRule="auto"/>
        <w:contextualSpacing/>
      </w:pPr>
      <w:r>
        <w:t xml:space="preserve">Graph 1. </w:t>
      </w:r>
      <w:r w:rsidR="00DB520D">
        <w:t>Concentration versus Fluorescence Intensity for Q</w:t>
      </w:r>
      <w:r w:rsidR="00443884">
        <w:t>uinine</w:t>
      </w:r>
      <w:r w:rsidR="00DB520D">
        <w:t xml:space="preserve"> solution </w:t>
      </w:r>
      <w:proofErr w:type="spellStart"/>
      <w:r w:rsidR="00DB520D">
        <w:t>NaCl</w:t>
      </w:r>
      <w:proofErr w:type="spellEnd"/>
      <w:r w:rsidR="00DB520D">
        <w:t>.</w:t>
      </w:r>
    </w:p>
    <w:p w:rsidR="00DB520D" w:rsidRDefault="00DB520D" w:rsidP="00B47278">
      <w:pPr>
        <w:tabs>
          <w:tab w:val="left" w:pos="7740"/>
        </w:tabs>
        <w:spacing w:after="0" w:line="240" w:lineRule="auto"/>
        <w:contextualSpacing/>
      </w:pPr>
    </w:p>
    <w:p w:rsidR="00DB520D" w:rsidRDefault="00DB520D" w:rsidP="00B47278">
      <w:pPr>
        <w:tabs>
          <w:tab w:val="left" w:pos="7740"/>
        </w:tabs>
        <w:spacing w:after="0" w:line="240" w:lineRule="auto"/>
        <w:contextualSpacing/>
      </w:pPr>
    </w:p>
    <w:p w:rsidR="00DB520D" w:rsidRDefault="00DB520D" w:rsidP="00B47278">
      <w:pPr>
        <w:tabs>
          <w:tab w:val="left" w:pos="7740"/>
        </w:tabs>
        <w:spacing w:after="0" w:line="240" w:lineRule="auto"/>
        <w:contextualSpacing/>
      </w:pPr>
      <w:r>
        <w:rPr>
          <w:noProof/>
        </w:rPr>
        <w:drawing>
          <wp:inline distT="0" distB="0" distL="0" distR="0" wp14:anchorId="737A8BC0" wp14:editId="02DFD3EF">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04C8" w:rsidRDefault="000404C8" w:rsidP="00B47278">
      <w:pPr>
        <w:tabs>
          <w:tab w:val="left" w:pos="7740"/>
        </w:tabs>
        <w:spacing w:after="0" w:line="240" w:lineRule="auto"/>
        <w:contextualSpacing/>
      </w:pPr>
    </w:p>
    <w:p w:rsidR="000404C8" w:rsidRDefault="00DB520D" w:rsidP="00B47278">
      <w:pPr>
        <w:tabs>
          <w:tab w:val="left" w:pos="7740"/>
        </w:tabs>
        <w:spacing w:after="0" w:line="240" w:lineRule="auto"/>
        <w:contextualSpacing/>
      </w:pPr>
      <w:r w:rsidRPr="00DB520D">
        <w:t xml:space="preserve">Graph </w:t>
      </w:r>
      <w:r>
        <w:t>2</w:t>
      </w:r>
      <w:r w:rsidRPr="00DB520D">
        <w:t xml:space="preserve">. </w:t>
      </w:r>
      <w:r>
        <w:t>Fluorescen</w:t>
      </w:r>
      <w:r w:rsidR="00EC24E9">
        <w:t xml:space="preserve">ce </w:t>
      </w:r>
      <w:r>
        <w:t>in absence of Quencher divided by F</w:t>
      </w:r>
      <w:r w:rsidR="00EC24E9">
        <w:t>luorescence with Quenchers</w:t>
      </w:r>
      <w:r w:rsidRPr="00DB520D">
        <w:t xml:space="preserve"> </w:t>
      </w:r>
      <w:r w:rsidR="00EC24E9" w:rsidRPr="00DB520D">
        <w:t xml:space="preserve">Fluorescence Intensity </w:t>
      </w:r>
      <w:r w:rsidRPr="00DB520D">
        <w:t xml:space="preserve">versus </w:t>
      </w:r>
      <w:r w:rsidR="00EC24E9">
        <w:t xml:space="preserve">Concentration </w:t>
      </w:r>
      <w:r w:rsidRPr="00DB520D">
        <w:t>for Q</w:t>
      </w:r>
      <w:r w:rsidR="00443884">
        <w:t>uinine</w:t>
      </w:r>
      <w:r w:rsidRPr="00DB520D">
        <w:t xml:space="preserve"> solution </w:t>
      </w:r>
      <w:proofErr w:type="spellStart"/>
      <w:r w:rsidRPr="00DB520D">
        <w:t>NaCl</w:t>
      </w:r>
      <w:proofErr w:type="spellEnd"/>
      <w:r w:rsidRPr="00DB520D">
        <w:t>.</w:t>
      </w: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r>
        <w:rPr>
          <w:noProof/>
        </w:rPr>
        <w:drawing>
          <wp:inline distT="0" distB="0" distL="0" distR="0" wp14:anchorId="1E2B0821" wp14:editId="7E46426A">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2F16" w:rsidRDefault="00362F16" w:rsidP="00B47278">
      <w:pPr>
        <w:tabs>
          <w:tab w:val="left" w:pos="7740"/>
        </w:tabs>
        <w:spacing w:after="0" w:line="240" w:lineRule="auto"/>
        <w:contextualSpacing/>
      </w:pPr>
    </w:p>
    <w:p w:rsidR="00362F16" w:rsidRDefault="00EC24E9" w:rsidP="00B47278">
      <w:pPr>
        <w:tabs>
          <w:tab w:val="left" w:pos="7740"/>
        </w:tabs>
        <w:spacing w:after="0" w:line="240" w:lineRule="auto"/>
        <w:contextualSpacing/>
      </w:pPr>
      <w:r w:rsidRPr="00EC24E9">
        <w:t xml:space="preserve">Graph </w:t>
      </w:r>
      <w:r w:rsidR="00443884">
        <w:t>3</w:t>
      </w:r>
      <w:r w:rsidRPr="00EC24E9">
        <w:t>. Concentration versus Fluorescence Intensity for Q</w:t>
      </w:r>
      <w:r w:rsidR="00443884">
        <w:t xml:space="preserve">uinine </w:t>
      </w:r>
      <w:r w:rsidRPr="00EC24E9">
        <w:t xml:space="preserve">solution </w:t>
      </w:r>
      <w:proofErr w:type="spellStart"/>
      <w:r>
        <w:t>KBr</w:t>
      </w:r>
      <w:proofErr w:type="spellEnd"/>
      <w:r w:rsidRPr="00EC24E9">
        <w:t>.</w:t>
      </w:r>
    </w:p>
    <w:p w:rsidR="007012C8" w:rsidRDefault="007012C8" w:rsidP="00B47278">
      <w:pPr>
        <w:tabs>
          <w:tab w:val="left" w:pos="7740"/>
        </w:tabs>
        <w:spacing w:after="0" w:line="240" w:lineRule="auto"/>
        <w:contextualSpacing/>
      </w:pPr>
    </w:p>
    <w:p w:rsidR="007012C8" w:rsidRDefault="007012C8" w:rsidP="00B47278">
      <w:pPr>
        <w:tabs>
          <w:tab w:val="left" w:pos="7740"/>
        </w:tabs>
        <w:spacing w:after="0" w:line="240" w:lineRule="auto"/>
        <w:contextualSpacing/>
      </w:pPr>
    </w:p>
    <w:p w:rsidR="007012C8" w:rsidRDefault="007012C8"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r>
        <w:rPr>
          <w:noProof/>
        </w:rPr>
        <w:drawing>
          <wp:inline distT="0" distB="0" distL="0" distR="0" wp14:anchorId="4E5249AE" wp14:editId="74C74F8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r w:rsidRPr="00EC24E9">
        <w:t xml:space="preserve">Graph </w:t>
      </w:r>
      <w:r w:rsidR="00443884">
        <w:t>4</w:t>
      </w:r>
      <w:r w:rsidRPr="00EC24E9">
        <w:t>. Fluorescence in absence of Quencher divided by Fluorescence with Quenchers Fluorescence Intensity versus Concentration for Qu</w:t>
      </w:r>
      <w:r w:rsidR="00443884">
        <w:t>inine</w:t>
      </w:r>
      <w:r w:rsidRPr="00EC24E9">
        <w:t xml:space="preserve"> solution </w:t>
      </w:r>
      <w:proofErr w:type="spellStart"/>
      <w:r>
        <w:t>KBr</w:t>
      </w:r>
      <w:proofErr w:type="spellEnd"/>
      <w:r w:rsidRPr="00EC24E9">
        <w:t>.</w:t>
      </w:r>
    </w:p>
    <w:p w:rsidR="007012C8" w:rsidRDefault="007012C8" w:rsidP="00B47278">
      <w:pPr>
        <w:tabs>
          <w:tab w:val="left" w:pos="7740"/>
        </w:tabs>
        <w:spacing w:after="0" w:line="240" w:lineRule="auto"/>
        <w:contextualSpacing/>
      </w:pPr>
    </w:p>
    <w:p w:rsidR="007012C8" w:rsidRDefault="007012C8"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443884" w:rsidP="00B47278">
      <w:pPr>
        <w:tabs>
          <w:tab w:val="left" w:pos="7740"/>
        </w:tabs>
        <w:spacing w:after="0" w:line="240" w:lineRule="auto"/>
        <w:contextualSpacing/>
      </w:pPr>
      <w:r>
        <w:rPr>
          <w:noProof/>
        </w:rPr>
        <w:drawing>
          <wp:inline distT="0" distB="0" distL="0" distR="0" wp14:anchorId="1D0191DE" wp14:editId="6DAB2DF7">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24E9" w:rsidRDefault="00EC24E9" w:rsidP="00B47278">
      <w:pPr>
        <w:tabs>
          <w:tab w:val="left" w:pos="7740"/>
        </w:tabs>
        <w:spacing w:after="0" w:line="240" w:lineRule="auto"/>
        <w:contextualSpacing/>
      </w:pPr>
    </w:p>
    <w:p w:rsidR="00EC24E9" w:rsidRDefault="00443884" w:rsidP="00B47278">
      <w:pPr>
        <w:tabs>
          <w:tab w:val="left" w:pos="7740"/>
        </w:tabs>
        <w:spacing w:after="0" w:line="240" w:lineRule="auto"/>
        <w:contextualSpacing/>
      </w:pPr>
      <w:r w:rsidRPr="00443884">
        <w:t xml:space="preserve">Graph </w:t>
      </w:r>
      <w:r>
        <w:t>5</w:t>
      </w:r>
      <w:r w:rsidRPr="00443884">
        <w:t xml:space="preserve">. Concentration versus Fluorescence Intensity for </w:t>
      </w:r>
      <w:proofErr w:type="spellStart"/>
      <w:r>
        <w:t>Acridine</w:t>
      </w:r>
      <w:proofErr w:type="spellEnd"/>
      <w:r w:rsidRPr="00443884">
        <w:t xml:space="preserve"> solution </w:t>
      </w:r>
      <w:proofErr w:type="spellStart"/>
      <w:r w:rsidRPr="00443884">
        <w:t>KBr</w:t>
      </w:r>
      <w:proofErr w:type="spellEnd"/>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EC24E9" w:rsidRDefault="00443884" w:rsidP="00B47278">
      <w:pPr>
        <w:tabs>
          <w:tab w:val="left" w:pos="7740"/>
        </w:tabs>
        <w:spacing w:after="0" w:line="240" w:lineRule="auto"/>
        <w:contextualSpacing/>
      </w:pPr>
      <w:r>
        <w:rPr>
          <w:noProof/>
        </w:rPr>
        <w:drawing>
          <wp:inline distT="0" distB="0" distL="0" distR="0" wp14:anchorId="13B467EE" wp14:editId="29C7E1C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3884" w:rsidRDefault="00443884" w:rsidP="00B47278">
      <w:pPr>
        <w:tabs>
          <w:tab w:val="left" w:pos="7740"/>
        </w:tabs>
        <w:spacing w:after="0" w:line="240" w:lineRule="auto"/>
        <w:contextualSpacing/>
      </w:pPr>
    </w:p>
    <w:p w:rsidR="00EC24E9" w:rsidRDefault="00443884" w:rsidP="00B47278">
      <w:pPr>
        <w:tabs>
          <w:tab w:val="left" w:pos="7740"/>
        </w:tabs>
        <w:spacing w:after="0" w:line="240" w:lineRule="auto"/>
        <w:contextualSpacing/>
      </w:pPr>
      <w:r w:rsidRPr="00443884">
        <w:t xml:space="preserve">Graph </w:t>
      </w:r>
      <w:r>
        <w:t>6</w:t>
      </w:r>
      <w:r w:rsidRPr="00443884">
        <w:t xml:space="preserve">. Fluorescence in absence of Quencher divided by Fluorescence with Quenchers Fluorescence Intensity versus Concentration for </w:t>
      </w:r>
      <w:proofErr w:type="spellStart"/>
      <w:r>
        <w:t>Acridine</w:t>
      </w:r>
      <w:proofErr w:type="spellEnd"/>
      <w:r w:rsidRPr="00443884">
        <w:t xml:space="preserve"> solution </w:t>
      </w:r>
      <w:proofErr w:type="spellStart"/>
      <w:r w:rsidRPr="00443884">
        <w:t>KBr</w:t>
      </w:r>
      <w:proofErr w:type="spellEnd"/>
      <w:r w:rsidRPr="00443884">
        <w:t>.</w:t>
      </w:r>
    </w:p>
    <w:p w:rsidR="00EC24E9" w:rsidRDefault="00EC24E9"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1D1FC8" w:rsidRDefault="001D1FC8" w:rsidP="00B47278">
      <w:pPr>
        <w:tabs>
          <w:tab w:val="left" w:pos="7740"/>
        </w:tabs>
        <w:spacing w:after="0" w:line="240" w:lineRule="auto"/>
        <w:contextualSpacing/>
      </w:pPr>
      <w:r>
        <w:rPr>
          <w:noProof/>
        </w:rPr>
        <w:drawing>
          <wp:inline distT="0" distB="0" distL="0" distR="0" wp14:anchorId="198006C1" wp14:editId="5F8FD96D">
            <wp:extent cx="5572125" cy="33718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1FC8" w:rsidRDefault="001D1FC8" w:rsidP="00B47278">
      <w:pPr>
        <w:tabs>
          <w:tab w:val="left" w:pos="7740"/>
        </w:tabs>
        <w:spacing w:after="0" w:line="240" w:lineRule="auto"/>
        <w:contextualSpacing/>
      </w:pPr>
    </w:p>
    <w:p w:rsidR="001D1FC8" w:rsidRDefault="001D1FC8" w:rsidP="001D1FC8">
      <w:pPr>
        <w:tabs>
          <w:tab w:val="left" w:pos="7740"/>
        </w:tabs>
        <w:spacing w:after="0" w:line="240" w:lineRule="auto"/>
        <w:contextualSpacing/>
      </w:pPr>
      <w:proofErr w:type="gramStart"/>
      <w:r>
        <w:t>Graph 9.</w:t>
      </w:r>
      <w:proofErr w:type="gramEnd"/>
      <w:r>
        <w:t xml:space="preserve"> Stern-</w:t>
      </w:r>
      <w:proofErr w:type="spellStart"/>
      <w:r>
        <w:t>Volmer</w:t>
      </w:r>
      <w:proofErr w:type="spellEnd"/>
      <w:r>
        <w:t xml:space="preserve"> Plots for Concentration Quencher (mL) vs. Fluorescence Intensity (</w:t>
      </w:r>
      <w:proofErr w:type="spellStart"/>
      <w:r>
        <w:t>a.u</w:t>
      </w:r>
      <w:proofErr w:type="spellEnd"/>
      <w:r>
        <w:t>.</w:t>
      </w:r>
      <w:proofErr w:type="gramStart"/>
      <w:r>
        <w:t>)  for</w:t>
      </w:r>
      <w:proofErr w:type="gramEnd"/>
      <w:r>
        <w:t xml:space="preserve"> </w:t>
      </w:r>
      <w:proofErr w:type="spellStart"/>
      <w:r>
        <w:t>Fluorophores</w:t>
      </w:r>
      <w:proofErr w:type="spellEnd"/>
      <w:r>
        <w:t>, Q-</w:t>
      </w:r>
      <w:proofErr w:type="spellStart"/>
      <w:r>
        <w:t>NaCl</w:t>
      </w:r>
      <w:proofErr w:type="spellEnd"/>
      <w:r>
        <w:t>, Q-</w:t>
      </w:r>
      <w:proofErr w:type="spellStart"/>
      <w:r>
        <w:t>KBr</w:t>
      </w:r>
      <w:proofErr w:type="spellEnd"/>
      <w:r>
        <w:t>, A-</w:t>
      </w:r>
      <w:proofErr w:type="spellStart"/>
      <w:r>
        <w:t>NaC</w:t>
      </w:r>
      <w:proofErr w:type="spellEnd"/>
      <w:r>
        <w:t xml:space="preserve"> and A-</w:t>
      </w:r>
      <w:proofErr w:type="spellStart"/>
      <w:r>
        <w:t>KBr</w:t>
      </w:r>
      <w:proofErr w:type="spellEnd"/>
      <w:r>
        <w:t>.</w:t>
      </w:r>
    </w:p>
    <w:p w:rsidR="00EC24E9" w:rsidRDefault="00EC24E9" w:rsidP="00B47278">
      <w:pPr>
        <w:tabs>
          <w:tab w:val="left" w:pos="7740"/>
        </w:tabs>
        <w:spacing w:after="0" w:line="240" w:lineRule="auto"/>
        <w:contextualSpacing/>
      </w:pPr>
    </w:p>
    <w:p w:rsidR="00EC24E9" w:rsidRDefault="00EC24E9" w:rsidP="00B47278">
      <w:pPr>
        <w:tabs>
          <w:tab w:val="left" w:pos="7740"/>
        </w:tabs>
        <w:spacing w:after="0" w:line="240" w:lineRule="auto"/>
        <w:contextualSpacing/>
      </w:pPr>
    </w:p>
    <w:p w:rsidR="003574BD" w:rsidRDefault="003574BD" w:rsidP="00B47278">
      <w:pPr>
        <w:tabs>
          <w:tab w:val="left" w:pos="7740"/>
        </w:tabs>
        <w:spacing w:after="0" w:line="240" w:lineRule="auto"/>
        <w:contextualSpacing/>
      </w:pPr>
    </w:p>
    <w:p w:rsidR="0007239A" w:rsidRDefault="000404C8" w:rsidP="002F0EAB">
      <w:pPr>
        <w:tabs>
          <w:tab w:val="left" w:pos="7740"/>
        </w:tabs>
        <w:spacing w:after="0" w:line="480" w:lineRule="auto"/>
        <w:contextualSpacing/>
        <w:rPr>
          <w:b/>
        </w:rPr>
      </w:pPr>
      <w:r>
        <w:rPr>
          <w:b/>
        </w:rPr>
        <w:t>C</w:t>
      </w:r>
      <w:r w:rsidR="005F0B63" w:rsidRPr="005F0B63">
        <w:rPr>
          <w:b/>
        </w:rPr>
        <w:t>ALCULATIONS</w:t>
      </w:r>
      <w:r w:rsidR="00A66C5F">
        <w:rPr>
          <w:b/>
        </w:rPr>
        <w:t xml:space="preserve"> </w:t>
      </w:r>
    </w:p>
    <w:p w:rsidR="009B691B" w:rsidRDefault="00192439" w:rsidP="009B691B">
      <w:pPr>
        <w:tabs>
          <w:tab w:val="left" w:pos="7740"/>
        </w:tabs>
        <w:spacing w:after="0" w:line="480" w:lineRule="auto"/>
        <w:contextualSpacing/>
        <w:rPr>
          <w:rFonts w:cs="Times New Roman"/>
          <w:color w:val="000000"/>
          <w:szCs w:val="24"/>
        </w:rPr>
      </w:pPr>
      <w:r w:rsidRPr="00362F16">
        <w:rPr>
          <w:rFonts w:cs="Times New Roman"/>
          <w:color w:val="000000"/>
          <w:szCs w:val="24"/>
        </w:rPr>
        <w:t xml:space="preserve">Intensity </w:t>
      </w:r>
      <w:r w:rsidR="00362F16">
        <w:rPr>
          <w:rFonts w:cs="Times New Roman"/>
          <w:color w:val="000000"/>
          <w:szCs w:val="24"/>
        </w:rPr>
        <w:t xml:space="preserve">In the Presence of a </w:t>
      </w:r>
      <w:r w:rsidRPr="00362F16">
        <w:rPr>
          <w:rFonts w:cs="Times New Roman"/>
          <w:color w:val="000000"/>
          <w:szCs w:val="24"/>
        </w:rPr>
        <w:t xml:space="preserve">Quencher and </w:t>
      </w:r>
      <w:r w:rsidR="00362F16">
        <w:rPr>
          <w:rFonts w:cs="Times New Roman"/>
          <w:color w:val="000000"/>
          <w:szCs w:val="24"/>
        </w:rPr>
        <w:t>Intensity in the Absence of a Quencher</w:t>
      </w:r>
    </w:p>
    <w:p w:rsidR="00362F16" w:rsidRDefault="00362F16" w:rsidP="009B691B">
      <w:pPr>
        <w:tabs>
          <w:tab w:val="left" w:pos="7740"/>
        </w:tabs>
        <w:spacing w:after="0" w:line="480" w:lineRule="auto"/>
        <w:contextualSpacing/>
        <w:rPr>
          <w:rFonts w:cs="Times New Roman"/>
          <w:color w:val="000000"/>
          <w:szCs w:val="24"/>
        </w:rPr>
      </w:pPr>
      <w:r>
        <w:rPr>
          <w:rFonts w:cs="Times New Roman"/>
          <w:color w:val="000000"/>
          <w:szCs w:val="24"/>
        </w:rPr>
        <w:t>For Q solutions in the Presence of a Quencher example:</w:t>
      </w:r>
      <w:r w:rsidR="00D53512">
        <w:rPr>
          <w:rFonts w:cs="Times New Roman"/>
          <w:color w:val="000000"/>
          <w:szCs w:val="24"/>
        </w:rPr>
        <w:t xml:space="preserve"> </w:t>
      </w:r>
      <w:proofErr w:type="spellStart"/>
      <w:proofErr w:type="gramStart"/>
      <w:r>
        <w:rPr>
          <w:rFonts w:cs="Times New Roman"/>
          <w:color w:val="000000"/>
          <w:szCs w:val="24"/>
        </w:rPr>
        <w:t>Fo</w:t>
      </w:r>
      <w:proofErr w:type="spellEnd"/>
      <w:proofErr w:type="gramEnd"/>
      <w:r>
        <w:rPr>
          <w:rFonts w:cs="Times New Roman"/>
          <w:color w:val="000000"/>
          <w:szCs w:val="24"/>
        </w:rPr>
        <w:t xml:space="preserve"> = Absence of a Quencher</w:t>
      </w:r>
      <w:r w:rsidR="00D53512">
        <w:rPr>
          <w:rFonts w:cs="Times New Roman"/>
          <w:color w:val="000000"/>
          <w:szCs w:val="24"/>
        </w:rPr>
        <w:t xml:space="preserve"> and </w:t>
      </w:r>
    </w:p>
    <w:p w:rsidR="00362F16" w:rsidRDefault="00362F16" w:rsidP="009B691B">
      <w:pPr>
        <w:tabs>
          <w:tab w:val="left" w:pos="7740"/>
        </w:tabs>
        <w:spacing w:after="0" w:line="480" w:lineRule="auto"/>
        <w:contextualSpacing/>
        <w:rPr>
          <w:rFonts w:cs="Times New Roman"/>
          <w:color w:val="000000"/>
          <w:szCs w:val="24"/>
        </w:rPr>
      </w:pPr>
      <w:r>
        <w:rPr>
          <w:rFonts w:cs="Times New Roman"/>
          <w:color w:val="000000"/>
          <w:szCs w:val="24"/>
        </w:rPr>
        <w:t>F = Quencher</w:t>
      </w:r>
    </w:p>
    <w:p w:rsidR="00D53512" w:rsidRDefault="00D53512" w:rsidP="00D53512">
      <w:pPr>
        <w:tabs>
          <w:tab w:val="left" w:pos="4230"/>
        </w:tabs>
        <w:spacing w:after="0" w:line="480" w:lineRule="auto"/>
        <w:contextualSpacing/>
        <w:rPr>
          <w:rFonts w:cs="Times New Roman"/>
          <w:color w:val="000000"/>
          <w:szCs w:val="24"/>
        </w:rPr>
      </w:pPr>
      <w:r>
        <w:rPr>
          <w:rFonts w:cs="Times New Roman"/>
          <w:color w:val="000000"/>
          <w:szCs w:val="24"/>
        </w:rPr>
        <w:t>Factors for None</w:t>
      </w:r>
      <w:r>
        <w:rPr>
          <w:rFonts w:cs="Times New Roman"/>
          <w:color w:val="000000"/>
          <w:szCs w:val="24"/>
        </w:rPr>
        <w:tab/>
      </w:r>
      <w:r>
        <w:rPr>
          <w:rFonts w:cs="Times New Roman"/>
          <w:color w:val="000000"/>
          <w:szCs w:val="24"/>
        </w:rPr>
        <w:tab/>
        <w:t xml:space="preserve">Factors for </w:t>
      </w:r>
      <w:proofErr w:type="spellStart"/>
      <w:r>
        <w:rPr>
          <w:rFonts w:cs="Times New Roman"/>
          <w:color w:val="000000"/>
          <w:szCs w:val="24"/>
        </w:rPr>
        <w:t>NaCl</w:t>
      </w:r>
      <w:proofErr w:type="spellEnd"/>
      <w:r>
        <w:rPr>
          <w:rFonts w:cs="Times New Roman"/>
          <w:color w:val="000000"/>
          <w:szCs w:val="24"/>
        </w:rPr>
        <w:t xml:space="preserve"> Concentration of 0.0036</w:t>
      </w:r>
      <w:r>
        <w:rPr>
          <w:rFonts w:cs="Times New Roman"/>
          <w:color w:val="000000"/>
          <w:szCs w:val="24"/>
        </w:rPr>
        <w:tab/>
      </w:r>
    </w:p>
    <w:p w:rsidR="00362F16" w:rsidRDefault="00D53512" w:rsidP="00D53512">
      <w:pPr>
        <w:spacing w:after="0" w:line="480" w:lineRule="auto"/>
        <w:contextualSpacing/>
        <w:rPr>
          <w:rFonts w:cs="Times New Roman"/>
          <w:color w:val="000000"/>
          <w:szCs w:val="24"/>
        </w:rPr>
      </w:pPr>
      <w:r>
        <w:rPr>
          <w:rFonts w:cs="Times New Roman"/>
          <w:color w:val="000000"/>
          <w:szCs w:val="24"/>
        </w:rPr>
        <w:t>Wavelength: 450 nm</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Wavelength:  450 nm</w:t>
      </w:r>
    </w:p>
    <w:p w:rsidR="00362F16" w:rsidRDefault="00D53512" w:rsidP="00D53512">
      <w:pPr>
        <w:spacing w:after="0" w:line="480" w:lineRule="auto"/>
        <w:contextualSpacing/>
        <w:rPr>
          <w:rFonts w:cs="Times New Roman"/>
          <w:color w:val="000000"/>
          <w:szCs w:val="24"/>
        </w:rPr>
      </w:pPr>
      <w:r>
        <w:rPr>
          <w:rFonts w:cs="Times New Roman"/>
          <w:color w:val="000000"/>
          <w:szCs w:val="24"/>
        </w:rPr>
        <w:t xml:space="preserve">Intensity:  </w:t>
      </w:r>
      <w:proofErr w:type="gramStart"/>
      <w:r w:rsidRPr="00D53512">
        <w:rPr>
          <w:rFonts w:cs="Times New Roman"/>
          <w:color w:val="000000"/>
          <w:szCs w:val="24"/>
        </w:rPr>
        <w:t>288.244</w:t>
      </w:r>
      <w:r w:rsidR="00B10500">
        <w:rPr>
          <w:rFonts w:cs="Times New Roman"/>
          <w:color w:val="000000"/>
          <w:szCs w:val="24"/>
        </w:rPr>
        <w:t xml:space="preserve"> </w:t>
      </w:r>
      <w:r w:rsidR="00B10500">
        <w:rPr>
          <w:rFonts w:cs="Times New Roman"/>
          <w:color w:val="000000"/>
          <w:szCs w:val="24"/>
        </w:rPr>
        <w:tab/>
      </w:r>
      <w:r>
        <w:rPr>
          <w:rFonts w:cs="Times New Roman"/>
          <w:color w:val="000000"/>
          <w:szCs w:val="24"/>
        </w:rPr>
        <w:t xml:space="preserve"> </w:t>
      </w:r>
      <w:r>
        <w:rPr>
          <w:rFonts w:cs="Times New Roman"/>
          <w:color w:val="000000"/>
          <w:szCs w:val="24"/>
        </w:rPr>
        <w:tab/>
      </w:r>
      <w:r>
        <w:rPr>
          <w:rFonts w:cs="Times New Roman"/>
          <w:color w:val="000000"/>
          <w:szCs w:val="24"/>
        </w:rPr>
        <w:tab/>
      </w:r>
      <w:r>
        <w:rPr>
          <w:rFonts w:cs="Times New Roman"/>
          <w:color w:val="000000"/>
          <w:szCs w:val="24"/>
        </w:rPr>
        <w:tab/>
        <w:t xml:space="preserve">Intensity: </w:t>
      </w:r>
      <w:r w:rsidRPr="00D53512">
        <w:rPr>
          <w:rFonts w:cs="Times New Roman"/>
          <w:color w:val="000000"/>
          <w:szCs w:val="24"/>
        </w:rPr>
        <w:t>290.24</w:t>
      </w:r>
      <w:proofErr w:type="gramEnd"/>
      <w:r>
        <w:rPr>
          <w:rFonts w:cs="Times New Roman"/>
          <w:color w:val="000000"/>
          <w:szCs w:val="24"/>
        </w:rPr>
        <w:tab/>
      </w:r>
      <w:r>
        <w:rPr>
          <w:rFonts w:cs="Times New Roman"/>
          <w:color w:val="000000"/>
          <w:szCs w:val="24"/>
        </w:rPr>
        <w:tab/>
      </w:r>
    </w:p>
    <w:p w:rsidR="00362F16" w:rsidRDefault="003C7C0A" w:rsidP="009B691B">
      <w:pPr>
        <w:tabs>
          <w:tab w:val="left" w:pos="7740"/>
        </w:tabs>
        <w:spacing w:after="0" w:line="480" w:lineRule="auto"/>
        <w:contextualSpacing/>
        <w:rPr>
          <w:rFonts w:cs="Times New Roman"/>
          <w:color w:val="000000"/>
          <w:szCs w:val="24"/>
        </w:rPr>
      </w:pPr>
      <m:oMath>
        <m:f>
          <m:fPr>
            <m:ctrlPr>
              <w:rPr>
                <w:rFonts w:ascii="Cambria Math" w:hAnsi="Cambria Math" w:cs="Times New Roman"/>
                <w:i/>
                <w:color w:val="000000"/>
                <w:szCs w:val="24"/>
              </w:rPr>
            </m:ctrlPr>
          </m:fPr>
          <m:num>
            <m:r>
              <w:rPr>
                <w:rFonts w:ascii="Cambria Math" w:hAnsi="Cambria Math" w:cs="Times New Roman"/>
                <w:color w:val="000000"/>
                <w:szCs w:val="24"/>
              </w:rPr>
              <m:t>Fo</m:t>
            </m:r>
          </m:num>
          <m:den>
            <m:r>
              <w:rPr>
                <w:rFonts w:ascii="Cambria Math" w:hAnsi="Cambria Math" w:cs="Times New Roman"/>
                <w:color w:val="000000"/>
                <w:szCs w:val="24"/>
              </w:rPr>
              <m:t>F</m:t>
            </m:r>
          </m:den>
        </m:f>
      </m:oMath>
      <w:r w:rsidR="00D53512">
        <w:rPr>
          <w:rFonts w:cs="Times New Roman"/>
          <w:color w:val="000000"/>
          <w:szCs w:val="24"/>
        </w:rPr>
        <w:t xml:space="preserve"> = </w:t>
      </w:r>
      <m:oMath>
        <m:f>
          <m:fPr>
            <m:ctrlPr>
              <w:rPr>
                <w:rFonts w:ascii="Cambria Math" w:hAnsi="Cambria Math" w:cs="Times New Roman"/>
                <w:i/>
                <w:color w:val="000000"/>
                <w:szCs w:val="24"/>
              </w:rPr>
            </m:ctrlPr>
          </m:fPr>
          <m:num>
            <m:r>
              <w:rPr>
                <w:rFonts w:ascii="Cambria Math" w:hAnsi="Cambria Math" w:cs="Times New Roman"/>
                <w:color w:val="000000"/>
                <w:szCs w:val="24"/>
              </w:rPr>
              <m:t>288.244</m:t>
            </m:r>
          </m:num>
          <m:den>
            <m:r>
              <w:rPr>
                <w:rFonts w:ascii="Cambria Math" w:hAnsi="Cambria Math" w:cs="Times New Roman"/>
                <w:color w:val="000000"/>
                <w:szCs w:val="24"/>
              </w:rPr>
              <m:t>290.24</m:t>
            </m:r>
          </m:den>
        </m:f>
      </m:oMath>
      <w:r w:rsidR="00D53512">
        <w:rPr>
          <w:rFonts w:cs="Times New Roman"/>
          <w:color w:val="000000"/>
          <w:szCs w:val="24"/>
        </w:rPr>
        <w:t xml:space="preserve"> = </w:t>
      </w:r>
      <w:r w:rsidR="00D53512" w:rsidRPr="00D53512">
        <w:rPr>
          <w:rFonts w:cs="Times New Roman"/>
          <w:color w:val="000000"/>
          <w:szCs w:val="24"/>
        </w:rPr>
        <w:t>0.993</w:t>
      </w:r>
      <w:r w:rsidR="00D53512">
        <w:rPr>
          <w:rFonts w:cs="Times New Roman"/>
          <w:color w:val="000000"/>
          <w:szCs w:val="24"/>
        </w:rPr>
        <w:t xml:space="preserve"> </w:t>
      </w:r>
    </w:p>
    <w:p w:rsidR="0087289E" w:rsidRDefault="0087289E" w:rsidP="0087289E">
      <w:pPr>
        <w:spacing w:after="0" w:line="240" w:lineRule="auto"/>
        <w:jc w:val="both"/>
        <w:rPr>
          <w:rFonts w:cs="Times New Roman"/>
          <w:color w:val="000000" w:themeColor="text1"/>
          <w:szCs w:val="24"/>
        </w:rPr>
      </w:pPr>
      <w:r w:rsidRPr="0087289E">
        <w:rPr>
          <w:rFonts w:cs="Times New Roman"/>
          <w:color w:val="000000" w:themeColor="text1"/>
          <w:szCs w:val="24"/>
        </w:rPr>
        <w:lastRenderedPageBreak/>
        <w:t xml:space="preserve">Plot the fluorescence intensity for each </w:t>
      </w:r>
      <w:proofErr w:type="spellStart"/>
      <w:r w:rsidRPr="0087289E">
        <w:rPr>
          <w:rFonts w:cs="Times New Roman"/>
          <w:color w:val="000000" w:themeColor="text1"/>
          <w:szCs w:val="24"/>
        </w:rPr>
        <w:t>fluorophore</w:t>
      </w:r>
      <w:proofErr w:type="spellEnd"/>
      <w:r w:rsidRPr="0087289E">
        <w:rPr>
          <w:rFonts w:cs="Times New Roman"/>
          <w:color w:val="000000" w:themeColor="text1"/>
          <w:szCs w:val="24"/>
        </w:rPr>
        <w:t xml:space="preserve"> as a function of the concentration of each quencher. </w:t>
      </w:r>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480" w:lineRule="auto"/>
        <w:contextualSpacing/>
        <w:rPr>
          <w:rFonts w:cs="Times New Roman"/>
          <w:color w:val="000000" w:themeColor="text1"/>
          <w:szCs w:val="24"/>
        </w:rPr>
      </w:pPr>
      <w:r>
        <w:rPr>
          <w:rFonts w:cs="Times New Roman"/>
          <w:color w:val="000000" w:themeColor="text1"/>
          <w:szCs w:val="24"/>
        </w:rPr>
        <w:t xml:space="preserve">     </w:t>
      </w:r>
      <w:r w:rsidRPr="0087289E">
        <w:rPr>
          <w:rFonts w:cs="Times New Roman"/>
          <w:color w:val="000000" w:themeColor="text1"/>
          <w:szCs w:val="24"/>
        </w:rPr>
        <w:t xml:space="preserve">I have plotted the concentration of quencher </w:t>
      </w:r>
      <w:proofErr w:type="spellStart"/>
      <w:r w:rsidRPr="0087289E">
        <w:rPr>
          <w:rFonts w:cs="Times New Roman"/>
          <w:color w:val="000000" w:themeColor="text1"/>
          <w:szCs w:val="24"/>
        </w:rPr>
        <w:t>vs</w:t>
      </w:r>
      <w:proofErr w:type="spellEnd"/>
      <w:r w:rsidRPr="0087289E">
        <w:rPr>
          <w:rFonts w:cs="Times New Roman"/>
          <w:color w:val="000000" w:themeColor="text1"/>
          <w:szCs w:val="24"/>
        </w:rPr>
        <w:t xml:space="preserve"> the fluorescence F as per equation 1 to determine the </w:t>
      </w:r>
      <w:proofErr w:type="spellStart"/>
      <w:proofErr w:type="gramStart"/>
      <w:r w:rsidRPr="0087289E">
        <w:rPr>
          <w:rFonts w:cs="Times New Roman"/>
          <w:color w:val="000000" w:themeColor="text1"/>
          <w:szCs w:val="24"/>
        </w:rPr>
        <w:t>Fo</w:t>
      </w:r>
      <w:proofErr w:type="spellEnd"/>
      <w:proofErr w:type="gramEnd"/>
      <w:r w:rsidRPr="0087289E">
        <w:rPr>
          <w:rFonts w:cs="Times New Roman"/>
          <w:color w:val="000000" w:themeColor="text1"/>
          <w:szCs w:val="24"/>
        </w:rPr>
        <w:t xml:space="preserve"> value from the intercept. As per the graph, the intercept </w:t>
      </w:r>
      <w:proofErr w:type="spellStart"/>
      <w:proofErr w:type="gramStart"/>
      <w:r w:rsidRPr="0087289E">
        <w:rPr>
          <w:rFonts w:cs="Times New Roman"/>
          <w:color w:val="000000" w:themeColor="text1"/>
          <w:szCs w:val="24"/>
        </w:rPr>
        <w:t>Fo</w:t>
      </w:r>
      <w:proofErr w:type="spellEnd"/>
      <w:proofErr w:type="gramEnd"/>
      <w:r w:rsidRPr="0087289E">
        <w:rPr>
          <w:rFonts w:cs="Times New Roman"/>
          <w:color w:val="000000" w:themeColor="text1"/>
          <w:szCs w:val="24"/>
        </w:rPr>
        <w:t xml:space="preserve"> = 299.91. This </w:t>
      </w:r>
      <w:r>
        <w:rPr>
          <w:rFonts w:cs="Times New Roman"/>
          <w:color w:val="000000" w:themeColor="text1"/>
          <w:szCs w:val="24"/>
        </w:rPr>
        <w:t xml:space="preserve">is correct </w:t>
      </w:r>
      <w:r w:rsidRPr="0087289E">
        <w:rPr>
          <w:rFonts w:cs="Times New Roman"/>
          <w:color w:val="000000" w:themeColor="text1"/>
          <w:szCs w:val="24"/>
        </w:rPr>
        <w:t>as the y-intercept value will be the intensity when the concentration of quencher = 0.</w:t>
      </w:r>
    </w:p>
    <w:p w:rsidR="0087289E" w:rsidRDefault="0087289E" w:rsidP="0087289E">
      <w:pPr>
        <w:spacing w:after="0" w:line="240" w:lineRule="auto"/>
        <w:ind w:firstLine="720"/>
        <w:jc w:val="both"/>
        <w:rPr>
          <w:rFonts w:cs="Times New Roman"/>
          <w:color w:val="000000" w:themeColor="text1"/>
          <w:szCs w:val="24"/>
        </w:rPr>
      </w:pPr>
      <w:r w:rsidRPr="0087289E">
        <w:rPr>
          <w:rFonts w:cs="Times New Roman"/>
          <w:color w:val="000000" w:themeColor="text1"/>
          <w:szCs w:val="24"/>
        </w:rPr>
        <w:t xml:space="preserve"> </w:t>
      </w:r>
    </w:p>
    <w:p w:rsidR="0087289E" w:rsidRDefault="0087289E" w:rsidP="0087289E">
      <w:pPr>
        <w:spacing w:after="0" w:line="240" w:lineRule="auto"/>
        <w:jc w:val="both"/>
        <w:rPr>
          <w:rFonts w:cs="Times New Roman"/>
          <w:color w:val="000000" w:themeColor="text1"/>
          <w:szCs w:val="24"/>
        </w:rPr>
      </w:pPr>
      <w:r w:rsidRPr="0087289E">
        <w:rPr>
          <w:rFonts w:cs="Times New Roman"/>
          <w:color w:val="000000" w:themeColor="text1"/>
          <w:szCs w:val="24"/>
        </w:rPr>
        <w:t xml:space="preserve">Use Equation 2 to determine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Cl</m:t>
                </m:r>
              </m:e>
              <m:sup>
                <m:r>
                  <w:rPr>
                    <w:rFonts w:ascii="Cambria Math" w:hAnsi="Cambria Math" w:cs="Times New Roman"/>
                    <w:color w:val="000000" w:themeColor="text1"/>
                    <w:szCs w:val="24"/>
                  </w:rPr>
                  <m:t>-</m:t>
                </m:r>
              </m:sup>
            </m:sSup>
          </m:sub>
        </m:sSub>
      </m:oMath>
      <w:r w:rsidRPr="0087289E">
        <w:rPr>
          <w:rFonts w:cs="Times New Roman"/>
          <w:color w:val="000000" w:themeColor="text1"/>
          <w:szCs w:val="24"/>
        </w:rPr>
        <w:t xml:space="preserve"> and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Br</m:t>
                </m:r>
              </m:e>
              <m:sup>
                <m:r>
                  <w:rPr>
                    <w:rFonts w:ascii="Cambria Math" w:hAnsi="Cambria Math" w:cs="Times New Roman"/>
                    <w:color w:val="000000" w:themeColor="text1"/>
                    <w:szCs w:val="24"/>
                  </w:rPr>
                  <m:t>-</m:t>
                </m:r>
              </m:sup>
            </m:sSup>
          </m:sub>
        </m:sSub>
      </m:oMath>
      <w:r w:rsidRPr="0087289E">
        <w:rPr>
          <w:rFonts w:cs="Times New Roman"/>
          <w:color w:val="000000" w:themeColor="text1"/>
          <w:szCs w:val="24"/>
        </w:rPr>
        <w:t xml:space="preserve"> for both quinine and acridine.  The value of F</w:t>
      </w:r>
      <w:r w:rsidRPr="0087289E">
        <w:rPr>
          <w:rFonts w:cs="Times New Roman"/>
          <w:color w:val="000000" w:themeColor="text1"/>
          <w:szCs w:val="24"/>
          <w:vertAlign w:val="subscript"/>
        </w:rPr>
        <w:t>0</w:t>
      </w:r>
      <w:r w:rsidRPr="0087289E">
        <w:rPr>
          <w:rFonts w:cs="Times New Roman"/>
          <w:color w:val="000000" w:themeColor="text1"/>
          <w:szCs w:val="24"/>
        </w:rPr>
        <w:t xml:space="preserve"> can be obtained by determining the intercept of the best-fit line through the raw data using Equation 1</w:t>
      </w:r>
      <w:r>
        <w:rPr>
          <w:rFonts w:cs="Times New Roman"/>
          <w:color w:val="000000" w:themeColor="text1"/>
          <w:szCs w:val="24"/>
        </w:rPr>
        <w:t>.</w:t>
      </w:r>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480" w:lineRule="auto"/>
        <w:ind w:firstLine="720"/>
        <w:contextualSpacing/>
        <w:jc w:val="both"/>
        <w:rPr>
          <w:rFonts w:cs="Times New Roman"/>
          <w:color w:val="000000" w:themeColor="text1"/>
          <w:szCs w:val="24"/>
        </w:rPr>
      </w:pPr>
      <w:r w:rsidRPr="0087289E">
        <w:rPr>
          <w:rFonts w:cs="Times New Roman"/>
          <w:color w:val="000000" w:themeColor="text1"/>
          <w:szCs w:val="24"/>
        </w:rPr>
        <w:t xml:space="preserve">Next, using the value of </w:t>
      </w:r>
      <w:proofErr w:type="spellStart"/>
      <w:proofErr w:type="gramStart"/>
      <w:r w:rsidRPr="0087289E">
        <w:rPr>
          <w:rFonts w:cs="Times New Roman"/>
          <w:color w:val="000000" w:themeColor="text1"/>
          <w:szCs w:val="24"/>
        </w:rPr>
        <w:t>Fo</w:t>
      </w:r>
      <w:proofErr w:type="spellEnd"/>
      <w:proofErr w:type="gramEnd"/>
      <w:r w:rsidRPr="0087289E">
        <w:rPr>
          <w:rFonts w:cs="Times New Roman"/>
          <w:color w:val="000000" w:themeColor="text1"/>
          <w:szCs w:val="24"/>
        </w:rPr>
        <w:t xml:space="preserve"> determined from the 1</w:t>
      </w:r>
      <w:r w:rsidRPr="0087289E">
        <w:rPr>
          <w:rFonts w:cs="Times New Roman"/>
          <w:color w:val="000000" w:themeColor="text1"/>
          <w:szCs w:val="24"/>
          <w:vertAlign w:val="superscript"/>
        </w:rPr>
        <w:t>st</w:t>
      </w:r>
      <w:r w:rsidRPr="0087289E">
        <w:rPr>
          <w:rFonts w:cs="Times New Roman"/>
          <w:color w:val="000000" w:themeColor="text1"/>
          <w:szCs w:val="24"/>
        </w:rPr>
        <w:t xml:space="preserve"> graph, we can calculate </w:t>
      </w:r>
      <w:proofErr w:type="spellStart"/>
      <w:r w:rsidRPr="0087289E">
        <w:rPr>
          <w:rFonts w:cs="Times New Roman"/>
          <w:color w:val="000000" w:themeColor="text1"/>
          <w:szCs w:val="24"/>
        </w:rPr>
        <w:t>Fo</w:t>
      </w:r>
      <w:proofErr w:type="spellEnd"/>
      <w:r w:rsidRPr="0087289E">
        <w:rPr>
          <w:rFonts w:cs="Times New Roman"/>
          <w:color w:val="000000" w:themeColor="text1"/>
          <w:szCs w:val="24"/>
        </w:rPr>
        <w:t>/F in order to plot the 2</w:t>
      </w:r>
      <w:r w:rsidRPr="0087289E">
        <w:rPr>
          <w:rFonts w:cs="Times New Roman"/>
          <w:color w:val="000000" w:themeColor="text1"/>
          <w:szCs w:val="24"/>
          <w:vertAlign w:val="superscript"/>
        </w:rPr>
        <w:t>nd</w:t>
      </w:r>
      <w:r w:rsidRPr="0087289E">
        <w:rPr>
          <w:rFonts w:cs="Times New Roman"/>
          <w:color w:val="000000" w:themeColor="text1"/>
          <w:szCs w:val="24"/>
        </w:rPr>
        <w:t xml:space="preserve"> graph. Check the 2</w:t>
      </w:r>
      <w:r w:rsidRPr="0087289E">
        <w:rPr>
          <w:rFonts w:cs="Times New Roman"/>
          <w:color w:val="000000" w:themeColor="text1"/>
          <w:szCs w:val="24"/>
          <w:vertAlign w:val="superscript"/>
        </w:rPr>
        <w:t>nd</w:t>
      </w:r>
      <w:r w:rsidRPr="0087289E">
        <w:rPr>
          <w:rFonts w:cs="Times New Roman"/>
          <w:color w:val="000000" w:themeColor="text1"/>
          <w:szCs w:val="24"/>
        </w:rPr>
        <w:t xml:space="preserve"> plot. The slope of each graph will be the K values. Hence for Q solutions of </w:t>
      </w:r>
      <w:proofErr w:type="spellStart"/>
      <w:r w:rsidRPr="0087289E">
        <w:rPr>
          <w:rFonts w:cs="Times New Roman"/>
          <w:color w:val="000000" w:themeColor="text1"/>
          <w:szCs w:val="24"/>
        </w:rPr>
        <w:t>NaCl</w:t>
      </w:r>
      <w:proofErr w:type="spellEnd"/>
      <w:r w:rsidRPr="0087289E">
        <w:rPr>
          <w:rFonts w:cs="Times New Roman"/>
          <w:color w:val="000000" w:themeColor="text1"/>
          <w:szCs w:val="24"/>
        </w:rPr>
        <w:t xml:space="preserve">, the </w:t>
      </w:r>
      <w:proofErr w:type="spellStart"/>
      <w:r w:rsidRPr="0087289E">
        <w:rPr>
          <w:rFonts w:cs="Times New Roman"/>
          <w:color w:val="000000" w:themeColor="text1"/>
          <w:szCs w:val="24"/>
        </w:rPr>
        <w:t>K</w:t>
      </w:r>
      <w:r w:rsidRPr="0087289E">
        <w:rPr>
          <w:rFonts w:cs="Times New Roman"/>
          <w:color w:val="000000" w:themeColor="text1"/>
          <w:szCs w:val="24"/>
          <w:vertAlign w:val="subscript"/>
        </w:rPr>
        <w:t>Cl</w:t>
      </w:r>
      <w:proofErr w:type="spellEnd"/>
      <w:r w:rsidRPr="0087289E">
        <w:rPr>
          <w:rFonts w:cs="Times New Roman"/>
          <w:color w:val="000000" w:themeColor="text1"/>
          <w:szCs w:val="24"/>
        </w:rPr>
        <w:t>- = 88.98. Similarly after plotting the other graphs, the values obtained are the following.</w:t>
      </w:r>
    </w:p>
    <w:p w:rsidR="0087289E" w:rsidRPr="0087289E" w:rsidRDefault="0087289E" w:rsidP="0087289E">
      <w:pPr>
        <w:spacing w:after="0" w:line="480" w:lineRule="auto"/>
        <w:ind w:firstLine="720"/>
        <w:contextualSpacing/>
        <w:jc w:val="both"/>
        <w:rPr>
          <w:rFonts w:cs="Times New Roman"/>
          <w:color w:val="000000" w:themeColor="text1"/>
          <w:szCs w:val="24"/>
        </w:rPr>
      </w:pPr>
      <w:r w:rsidRPr="0087289E">
        <w:rPr>
          <w:rFonts w:cs="Times New Roman"/>
          <w:color w:val="000000" w:themeColor="text1"/>
          <w:szCs w:val="24"/>
        </w:rPr>
        <w:t xml:space="preserve">Q solutions: </w:t>
      </w:r>
      <w:proofErr w:type="spellStart"/>
      <w:r w:rsidRPr="0087289E">
        <w:rPr>
          <w:rFonts w:cs="Times New Roman"/>
          <w:color w:val="000000" w:themeColor="text1"/>
          <w:szCs w:val="24"/>
        </w:rPr>
        <w:t>K</w:t>
      </w:r>
      <w:r w:rsidRPr="0087289E">
        <w:rPr>
          <w:rFonts w:cs="Times New Roman"/>
          <w:color w:val="000000" w:themeColor="text1"/>
          <w:szCs w:val="24"/>
          <w:vertAlign w:val="subscript"/>
        </w:rPr>
        <w:t>Cl</w:t>
      </w:r>
      <w:proofErr w:type="spellEnd"/>
      <w:r w:rsidRPr="0087289E">
        <w:rPr>
          <w:rFonts w:cs="Times New Roman"/>
          <w:color w:val="000000" w:themeColor="text1"/>
          <w:szCs w:val="24"/>
        </w:rPr>
        <w:t xml:space="preserve">- = 88.98, </w:t>
      </w:r>
      <w:proofErr w:type="spellStart"/>
      <w:r w:rsidRPr="0087289E">
        <w:rPr>
          <w:rFonts w:cs="Times New Roman"/>
          <w:color w:val="000000" w:themeColor="text1"/>
          <w:szCs w:val="24"/>
        </w:rPr>
        <w:t>K</w:t>
      </w:r>
      <w:r w:rsidRPr="0087289E">
        <w:rPr>
          <w:rFonts w:cs="Times New Roman"/>
          <w:color w:val="000000" w:themeColor="text1"/>
          <w:szCs w:val="24"/>
          <w:vertAlign w:val="subscript"/>
        </w:rPr>
        <w:t>Br</w:t>
      </w:r>
      <w:proofErr w:type="spellEnd"/>
      <w:r w:rsidRPr="0087289E">
        <w:rPr>
          <w:rFonts w:cs="Times New Roman"/>
          <w:color w:val="000000" w:themeColor="text1"/>
          <w:szCs w:val="24"/>
        </w:rPr>
        <w:t>- = 107.51</w:t>
      </w:r>
    </w:p>
    <w:p w:rsidR="0087289E" w:rsidRPr="0087289E" w:rsidRDefault="0087289E" w:rsidP="0087289E">
      <w:pPr>
        <w:spacing w:after="0" w:line="480" w:lineRule="auto"/>
        <w:ind w:firstLine="720"/>
        <w:contextualSpacing/>
        <w:jc w:val="both"/>
        <w:rPr>
          <w:rFonts w:cs="Times New Roman"/>
          <w:color w:val="000000" w:themeColor="text1"/>
          <w:szCs w:val="24"/>
        </w:rPr>
      </w:pPr>
      <w:r w:rsidRPr="0087289E">
        <w:rPr>
          <w:rFonts w:cs="Times New Roman"/>
          <w:color w:val="FF0000"/>
          <w:szCs w:val="24"/>
        </w:rPr>
        <w:t xml:space="preserve">A solutions: </w:t>
      </w:r>
      <w:proofErr w:type="spellStart"/>
      <w:r w:rsidRPr="0087289E">
        <w:rPr>
          <w:rFonts w:cs="Times New Roman"/>
          <w:color w:val="FF0000"/>
          <w:szCs w:val="24"/>
        </w:rPr>
        <w:t>K</w:t>
      </w:r>
      <w:r w:rsidRPr="0087289E">
        <w:rPr>
          <w:rFonts w:cs="Times New Roman"/>
          <w:color w:val="FF0000"/>
          <w:szCs w:val="24"/>
          <w:vertAlign w:val="subscript"/>
        </w:rPr>
        <w:t>Cl</w:t>
      </w:r>
      <w:proofErr w:type="spellEnd"/>
      <w:r w:rsidRPr="0087289E">
        <w:rPr>
          <w:rFonts w:cs="Times New Roman"/>
          <w:color w:val="FF0000"/>
          <w:szCs w:val="24"/>
        </w:rPr>
        <w:t xml:space="preserve">- = does not look </w:t>
      </w:r>
      <w:proofErr w:type="gramStart"/>
      <w:r w:rsidRPr="0087289E">
        <w:rPr>
          <w:rFonts w:cs="Times New Roman"/>
          <w:color w:val="FF0000"/>
          <w:szCs w:val="24"/>
        </w:rPr>
        <w:t>correct ,</w:t>
      </w:r>
      <w:proofErr w:type="gramEnd"/>
      <w:r w:rsidRPr="0087289E">
        <w:rPr>
          <w:rFonts w:cs="Times New Roman"/>
          <w:color w:val="FF0000"/>
          <w:szCs w:val="24"/>
        </w:rPr>
        <w:t xml:space="preserve"> </w:t>
      </w:r>
      <w:proofErr w:type="spellStart"/>
      <w:r w:rsidRPr="0087289E">
        <w:rPr>
          <w:rFonts w:cs="Times New Roman"/>
          <w:color w:val="000000" w:themeColor="text1"/>
          <w:szCs w:val="24"/>
        </w:rPr>
        <w:t>K</w:t>
      </w:r>
      <w:r w:rsidRPr="0087289E">
        <w:rPr>
          <w:rFonts w:cs="Times New Roman"/>
          <w:color w:val="000000" w:themeColor="text1"/>
          <w:szCs w:val="24"/>
          <w:vertAlign w:val="subscript"/>
        </w:rPr>
        <w:t>Br</w:t>
      </w:r>
      <w:proofErr w:type="spellEnd"/>
      <w:r w:rsidRPr="0087289E">
        <w:rPr>
          <w:rFonts w:cs="Times New Roman"/>
          <w:color w:val="000000" w:themeColor="text1"/>
          <w:szCs w:val="24"/>
        </w:rPr>
        <w:t>- = 309.86</w:t>
      </w:r>
    </w:p>
    <w:p w:rsidR="00445B98" w:rsidRDefault="00445B98" w:rsidP="0087289E">
      <w:pPr>
        <w:spacing w:after="0" w:line="240" w:lineRule="auto"/>
        <w:ind w:firstLine="720"/>
        <w:jc w:val="both"/>
        <w:rPr>
          <w:rFonts w:cs="Times New Roman"/>
          <w:color w:val="000000" w:themeColor="text1"/>
          <w:szCs w:val="24"/>
        </w:rPr>
      </w:pPr>
    </w:p>
    <w:p w:rsidR="00445B98" w:rsidRDefault="00445B98" w:rsidP="0087289E">
      <w:pPr>
        <w:spacing w:after="0" w:line="240" w:lineRule="auto"/>
        <w:ind w:firstLine="720"/>
        <w:jc w:val="both"/>
        <w:rPr>
          <w:rFonts w:cs="Times New Roman"/>
          <w:color w:val="000000" w:themeColor="text1"/>
          <w:szCs w:val="24"/>
        </w:rPr>
      </w:pPr>
    </w:p>
    <w:p w:rsidR="00445B98" w:rsidRDefault="00445B98" w:rsidP="0087289E">
      <w:pPr>
        <w:spacing w:after="0" w:line="240" w:lineRule="auto"/>
        <w:ind w:firstLine="720"/>
        <w:jc w:val="both"/>
        <w:rPr>
          <w:rFonts w:cs="Times New Roman"/>
          <w:color w:val="000000" w:themeColor="text1"/>
          <w:szCs w:val="24"/>
        </w:rPr>
      </w:pPr>
    </w:p>
    <w:p w:rsidR="0087289E" w:rsidRPr="0087289E" w:rsidRDefault="0087289E" w:rsidP="0087289E">
      <w:pPr>
        <w:spacing w:after="0" w:line="240" w:lineRule="auto"/>
        <w:ind w:firstLine="720"/>
        <w:jc w:val="both"/>
        <w:rPr>
          <w:rFonts w:cs="Times New Roman"/>
          <w:color w:val="000000" w:themeColor="text1"/>
          <w:szCs w:val="24"/>
        </w:rPr>
      </w:pPr>
      <w:r w:rsidRPr="0087289E">
        <w:rPr>
          <w:rFonts w:cs="Times New Roman"/>
          <w:color w:val="000000" w:themeColor="text1"/>
          <w:szCs w:val="24"/>
        </w:rPr>
        <w:t xml:space="preserve">The molar concentrations of bromide and chloride ions in the unknown mixture are computed by solving the following two fluorescence-quenching equations simultaneously. </w:t>
      </w:r>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240" w:lineRule="auto"/>
        <w:jc w:val="both"/>
        <w:rPr>
          <w:rFonts w:cs="Times New Roman"/>
          <w:color w:val="000000" w:themeColor="text1"/>
          <w:szCs w:val="24"/>
        </w:rPr>
      </w:pPr>
      <w:r w:rsidRPr="0087289E">
        <w:rPr>
          <w:rFonts w:cs="Times New Roman"/>
          <w:color w:val="000000" w:themeColor="text1"/>
          <w:szCs w:val="24"/>
        </w:rPr>
        <w:t>For quinine:</w:t>
      </w:r>
    </w:p>
    <w:p w:rsidR="0087289E" w:rsidRPr="0087289E" w:rsidRDefault="0087289E" w:rsidP="0087289E">
      <w:pPr>
        <w:spacing w:after="0" w:line="240" w:lineRule="auto"/>
        <w:jc w:val="both"/>
        <w:rPr>
          <w:rFonts w:cs="Times New Roman"/>
          <w:b/>
          <w:color w:val="000000" w:themeColor="text1"/>
          <w:szCs w:val="24"/>
        </w:rPr>
      </w:pPr>
    </w:p>
    <w:p w:rsidR="0087289E" w:rsidRPr="0087289E" w:rsidRDefault="0087289E" w:rsidP="0087289E">
      <w:pPr>
        <w:spacing w:after="0" w:line="240" w:lineRule="auto"/>
        <w:jc w:val="right"/>
        <w:rPr>
          <w:rFonts w:cs="Times New Roman"/>
          <w:color w:val="000000" w:themeColor="text1"/>
          <w:szCs w:val="24"/>
        </w:rPr>
      </w:pPr>
      <w:r w:rsidRPr="0087289E">
        <w:rPr>
          <w:rFonts w:cs="Times New Roman"/>
          <w:b/>
          <w:color w:val="000000" w:themeColor="text1"/>
          <w:szCs w:val="24"/>
        </w:rPr>
        <w:tab/>
      </w:r>
      <w:r w:rsidRPr="0087289E">
        <w:rPr>
          <w:rFonts w:cs="Times New Roman"/>
          <w:b/>
          <w:color w:val="000000" w:themeColor="text1"/>
          <w:szCs w:val="24"/>
        </w:rPr>
        <w:tab/>
      </w:r>
      <m:oMath>
        <m:f>
          <m:fPr>
            <m:ctrlPr>
              <w:rPr>
                <w:rFonts w:ascii="Cambria Math" w:hAnsi="Cambria Math" w:cs="Times New Roman"/>
                <w:i/>
                <w:color w:val="000000" w:themeColor="text1"/>
                <w:szCs w:val="24"/>
              </w:rPr>
            </m:ctrlPr>
          </m:fPr>
          <m:num>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F</m:t>
                </m:r>
              </m:e>
              <m:sub>
                <m:r>
                  <m:rPr>
                    <m:sty m:val="p"/>
                  </m:rPr>
                  <w:rPr>
                    <w:rFonts w:ascii="Cambria Math" w:hAnsi="Cambria Math" w:cs="Times New Roman"/>
                    <w:color w:val="000000" w:themeColor="text1"/>
                    <w:szCs w:val="24"/>
                  </w:rPr>
                  <m:t>0</m:t>
                </m:r>
              </m:sub>
            </m:sSub>
          </m:num>
          <m:den>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F</m:t>
                </m:r>
              </m:e>
              <m:sub>
                <m:r>
                  <m:rPr>
                    <m:sty m:val="p"/>
                  </m:rPr>
                  <w:rPr>
                    <w:rFonts w:ascii="Cambria Math" w:hAnsi="Cambria Math" w:cs="Times New Roman"/>
                    <w:color w:val="000000" w:themeColor="text1"/>
                    <w:szCs w:val="24"/>
                  </w:rPr>
                  <m:t>unk</m:t>
                </m:r>
              </m:sub>
            </m:sSub>
          </m:den>
        </m:f>
        <m:r>
          <w:rPr>
            <w:rFonts w:ascii="Cambria Math" w:hAnsi="Cambria Math" w:cs="Times New Roman"/>
            <w:color w:val="000000" w:themeColor="text1"/>
            <w:szCs w:val="24"/>
          </w:rPr>
          <m:t>-1=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b>
              <m:sSubPr>
                <m:ctrlPr>
                  <w:rPr>
                    <w:rFonts w:ascii="Cambria Math" w:hAnsi="Cambria Math" w:cs="Times New Roman"/>
                    <w:i/>
                    <w:color w:val="000000" w:themeColor="text1"/>
                    <w:szCs w:val="24"/>
                  </w:rPr>
                </m:ctrlPr>
              </m:sSubPr>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Cl</m:t>
                    </m:r>
                  </m:e>
                  <m:sup>
                    <m:r>
                      <w:rPr>
                        <w:rFonts w:ascii="Cambria Math" w:hAnsi="Cambria Math" w:cs="Times New Roman"/>
                        <w:color w:val="000000" w:themeColor="text1"/>
                        <w:szCs w:val="24"/>
                      </w:rPr>
                      <m:t>-</m:t>
                    </m:r>
                  </m:sup>
                </m:sSup>
              </m:e>
              <m:sub>
                <m:r>
                  <w:rPr>
                    <w:rFonts w:ascii="Cambria Math" w:hAnsi="Cambria Math" w:cs="Times New Roman"/>
                    <w:color w:val="000000" w:themeColor="text1"/>
                    <w:szCs w:val="24"/>
                  </w:rPr>
                  <m:t>quinine</m:t>
                </m:r>
              </m:sub>
            </m:sSub>
          </m:sub>
        </m:sSub>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Cl</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r>
          <m:rPr>
            <m:sty m:val="p"/>
          </m:rP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b>
              <m:sSubPr>
                <m:ctrlPr>
                  <w:rPr>
                    <w:rFonts w:ascii="Cambria Math" w:hAnsi="Cambria Math" w:cs="Times New Roman"/>
                    <w:i/>
                    <w:color w:val="000000" w:themeColor="text1"/>
                    <w:szCs w:val="24"/>
                  </w:rPr>
                </m:ctrlPr>
              </m:sSubPr>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Br</m:t>
                    </m:r>
                  </m:e>
                  <m:sup>
                    <m:r>
                      <w:rPr>
                        <w:rFonts w:ascii="Cambria Math" w:hAnsi="Cambria Math" w:cs="Times New Roman"/>
                        <w:color w:val="000000" w:themeColor="text1"/>
                        <w:szCs w:val="24"/>
                      </w:rPr>
                      <m:t>-</m:t>
                    </m:r>
                  </m:sup>
                </m:sSup>
              </m:e>
              <m:sub>
                <m:r>
                  <w:rPr>
                    <w:rFonts w:ascii="Cambria Math" w:hAnsi="Cambria Math" w:cs="Times New Roman"/>
                    <w:color w:val="000000" w:themeColor="text1"/>
                    <w:szCs w:val="24"/>
                  </w:rPr>
                  <m:t>quinine</m:t>
                </m:r>
              </m:sub>
            </m:sSub>
          </m:sub>
        </m:sSub>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Br</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oMath>
      <w:r w:rsidRPr="0087289E">
        <w:rPr>
          <w:rFonts w:cs="Times New Roman"/>
          <w:b/>
          <w:color w:val="000000" w:themeColor="text1"/>
          <w:szCs w:val="24"/>
        </w:rPr>
        <w:tab/>
        <w:t xml:space="preserve">             </w:t>
      </w:r>
      <w:r w:rsidRPr="0087289E">
        <w:rPr>
          <w:rFonts w:cs="Times New Roman"/>
          <w:b/>
          <w:color w:val="000000" w:themeColor="text1"/>
          <w:szCs w:val="24"/>
        </w:rPr>
        <w:tab/>
      </w:r>
    </w:p>
    <w:p w:rsidR="0087289E" w:rsidRPr="0087289E" w:rsidRDefault="0087289E" w:rsidP="0087289E">
      <w:pPr>
        <w:spacing w:after="0" w:line="240" w:lineRule="auto"/>
        <w:jc w:val="center"/>
        <w:rPr>
          <w:rFonts w:cs="Times New Roman"/>
          <w:color w:val="000000" w:themeColor="text1"/>
          <w:szCs w:val="24"/>
        </w:rPr>
      </w:pPr>
    </w:p>
    <w:p w:rsidR="0087289E" w:rsidRPr="0087289E" w:rsidRDefault="0087289E" w:rsidP="0087289E">
      <w:pPr>
        <w:spacing w:after="0" w:line="240" w:lineRule="auto"/>
        <w:jc w:val="center"/>
        <w:rPr>
          <w:rFonts w:cs="Times New Roman"/>
          <w:color w:val="000000" w:themeColor="text1"/>
          <w:szCs w:val="24"/>
        </w:rPr>
      </w:pPr>
    </w:p>
    <w:p w:rsidR="0087289E" w:rsidRPr="0087289E" w:rsidRDefault="003C7C0A" w:rsidP="0087289E">
      <w:pPr>
        <w:spacing w:after="0" w:line="240" w:lineRule="auto"/>
        <w:jc w:val="both"/>
        <w:rPr>
          <w:rFonts w:cs="Times New Roman"/>
          <w:color w:val="000000" w:themeColor="text1"/>
          <w:szCs w:val="24"/>
        </w:rPr>
      </w:pPr>
      <m:oMathPara>
        <m:oMath>
          <m:f>
            <m:fPr>
              <m:ctrlPr>
                <w:rPr>
                  <w:rFonts w:ascii="Cambria Math" w:hAnsi="Cambria Math" w:cs="Times New Roman"/>
                  <w:i/>
                  <w:color w:val="000000" w:themeColor="text1"/>
                  <w:szCs w:val="24"/>
                </w:rPr>
              </m:ctrlPr>
            </m:fPr>
            <m:num>
              <m:r>
                <m:rPr>
                  <m:sty m:val="p"/>
                </m:rPr>
                <w:rPr>
                  <w:rFonts w:ascii="Cambria Math" w:hAnsi="Cambria Math" w:cs="Times New Roman"/>
                  <w:color w:val="000000" w:themeColor="text1"/>
                  <w:szCs w:val="24"/>
                </w:rPr>
                <m:t>288.244</m:t>
              </m:r>
            </m:num>
            <m:den>
              <m:r>
                <m:rPr>
                  <m:sty m:val="p"/>
                </m:rPr>
                <w:rPr>
                  <w:rFonts w:ascii="Cambria Math" w:hAnsi="Cambria Math" w:cs="Times New Roman"/>
                  <w:color w:val="000000" w:themeColor="text1"/>
                  <w:szCs w:val="24"/>
                </w:rPr>
                <m:t>249.860</m:t>
              </m:r>
            </m:den>
          </m:f>
          <m:r>
            <w:rPr>
              <w:rFonts w:ascii="Cambria Math" w:hAnsi="Cambria Math" w:cs="Times New Roman"/>
              <w:color w:val="000000" w:themeColor="text1"/>
              <w:szCs w:val="24"/>
            </w:rPr>
            <m:t>-1=88.98</m:t>
          </m:r>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Cl</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107.51</m:t>
          </m:r>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Br</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oMath>
      </m:oMathPara>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240" w:lineRule="auto"/>
        <w:jc w:val="both"/>
        <w:rPr>
          <w:rFonts w:cs="Times New Roman"/>
          <w:color w:val="000000" w:themeColor="text1"/>
          <w:szCs w:val="24"/>
        </w:rPr>
      </w:pPr>
      <w:r w:rsidRPr="0087289E">
        <w:rPr>
          <w:rFonts w:cs="Times New Roman"/>
          <w:color w:val="000000" w:themeColor="text1"/>
          <w:szCs w:val="24"/>
        </w:rPr>
        <w:t xml:space="preserve">For </w:t>
      </w:r>
      <w:proofErr w:type="spellStart"/>
      <w:r w:rsidRPr="0087289E">
        <w:rPr>
          <w:rFonts w:cs="Times New Roman"/>
          <w:color w:val="000000" w:themeColor="text1"/>
          <w:szCs w:val="24"/>
        </w:rPr>
        <w:t>acridine</w:t>
      </w:r>
      <w:proofErr w:type="spellEnd"/>
      <w:r w:rsidRPr="0087289E">
        <w:rPr>
          <w:rFonts w:cs="Times New Roman"/>
          <w:color w:val="000000" w:themeColor="text1"/>
          <w:szCs w:val="24"/>
        </w:rPr>
        <w:t>:</w:t>
      </w:r>
    </w:p>
    <w:p w:rsidR="0087289E" w:rsidRPr="0087289E" w:rsidRDefault="0087289E" w:rsidP="0087289E">
      <w:pPr>
        <w:spacing w:after="0" w:line="240" w:lineRule="auto"/>
        <w:jc w:val="both"/>
        <w:rPr>
          <w:rFonts w:cs="Times New Roman"/>
          <w:color w:val="000000" w:themeColor="text1"/>
          <w:szCs w:val="24"/>
        </w:rPr>
      </w:pPr>
    </w:p>
    <w:p w:rsidR="0087289E" w:rsidRPr="0087289E" w:rsidRDefault="0087289E" w:rsidP="0087289E">
      <w:pPr>
        <w:spacing w:after="0" w:line="240" w:lineRule="auto"/>
        <w:rPr>
          <w:rFonts w:cs="Times New Roman"/>
          <w:color w:val="000000" w:themeColor="text1"/>
          <w:szCs w:val="24"/>
        </w:rPr>
      </w:pPr>
      <w:r w:rsidRPr="0087289E">
        <w:rPr>
          <w:rFonts w:cs="Times New Roman"/>
          <w:color w:val="000000" w:themeColor="text1"/>
          <w:szCs w:val="24"/>
        </w:rPr>
        <w:t xml:space="preserve">                              </w:t>
      </w:r>
      <m:oMath>
        <m:f>
          <m:fPr>
            <m:ctrlPr>
              <w:rPr>
                <w:rFonts w:ascii="Cambria Math" w:hAnsi="Cambria Math" w:cs="Times New Roman"/>
                <w:i/>
                <w:color w:val="000000" w:themeColor="text1"/>
                <w:szCs w:val="24"/>
              </w:rPr>
            </m:ctrlPr>
          </m:fPr>
          <m:num>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F</m:t>
                </m:r>
              </m:e>
              <m:sub>
                <m:r>
                  <m:rPr>
                    <m:sty m:val="p"/>
                  </m:rPr>
                  <w:rPr>
                    <w:rFonts w:ascii="Cambria Math" w:hAnsi="Cambria Math" w:cs="Times New Roman"/>
                    <w:color w:val="000000" w:themeColor="text1"/>
                    <w:szCs w:val="24"/>
                  </w:rPr>
                  <m:t>0</m:t>
                </m:r>
              </m:sub>
            </m:sSub>
          </m:num>
          <m:den>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F</m:t>
                </m:r>
              </m:e>
              <m:sub>
                <m:r>
                  <m:rPr>
                    <m:sty m:val="p"/>
                  </m:rPr>
                  <w:rPr>
                    <w:rFonts w:ascii="Cambria Math" w:hAnsi="Cambria Math" w:cs="Times New Roman"/>
                    <w:color w:val="000000" w:themeColor="text1"/>
                    <w:szCs w:val="24"/>
                  </w:rPr>
                  <m:t>unk</m:t>
                </m:r>
              </m:sub>
            </m:sSub>
          </m:den>
        </m:f>
        <m:r>
          <w:rPr>
            <w:rFonts w:ascii="Cambria Math" w:hAnsi="Cambria Math" w:cs="Times New Roman"/>
            <w:color w:val="000000" w:themeColor="text1"/>
            <w:szCs w:val="24"/>
          </w:rPr>
          <m:t>-1=</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b>
              <m:sSubPr>
                <m:ctrlPr>
                  <w:rPr>
                    <w:rFonts w:ascii="Cambria Math" w:hAnsi="Cambria Math" w:cs="Times New Roman"/>
                    <w:i/>
                    <w:color w:val="000000" w:themeColor="text1"/>
                    <w:szCs w:val="24"/>
                  </w:rPr>
                </m:ctrlPr>
              </m:sSubPr>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Cl</m:t>
                    </m:r>
                  </m:e>
                  <m:sup>
                    <m:r>
                      <w:rPr>
                        <w:rFonts w:ascii="Cambria Math" w:hAnsi="Cambria Math" w:cs="Times New Roman"/>
                        <w:color w:val="000000" w:themeColor="text1"/>
                        <w:szCs w:val="24"/>
                      </w:rPr>
                      <m:t>-</m:t>
                    </m:r>
                  </m:sup>
                </m:sSup>
              </m:e>
              <m:sub>
                <m:r>
                  <w:rPr>
                    <w:rFonts w:ascii="Cambria Math" w:hAnsi="Cambria Math" w:cs="Times New Roman"/>
                    <w:color w:val="000000" w:themeColor="text1"/>
                    <w:szCs w:val="24"/>
                  </w:rPr>
                  <m:t>acridine</m:t>
                </m:r>
              </m:sub>
            </m:sSub>
          </m:sub>
        </m:sSub>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Cl</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r>
          <m:rPr>
            <m:sty m:val="p"/>
          </m:rPr>
          <w:rPr>
            <w:rFonts w:ascii="Cambria Math" w:hAnsi="Cambria Math" w:cs="Times New Roman"/>
            <w:color w:val="000000" w:themeColor="text1"/>
            <w:szCs w:val="24"/>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K</m:t>
            </m:r>
          </m:e>
          <m:sub>
            <m:sSub>
              <m:sSubPr>
                <m:ctrlPr>
                  <w:rPr>
                    <w:rFonts w:ascii="Cambria Math" w:hAnsi="Cambria Math" w:cs="Times New Roman"/>
                    <w:i/>
                    <w:color w:val="000000" w:themeColor="text1"/>
                    <w:szCs w:val="24"/>
                  </w:rPr>
                </m:ctrlPr>
              </m:sSubPr>
              <m:e>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Br</m:t>
                    </m:r>
                  </m:e>
                  <m:sup>
                    <m:r>
                      <w:rPr>
                        <w:rFonts w:ascii="Cambria Math" w:hAnsi="Cambria Math" w:cs="Times New Roman"/>
                        <w:color w:val="000000" w:themeColor="text1"/>
                        <w:szCs w:val="24"/>
                      </w:rPr>
                      <m:t>-</m:t>
                    </m:r>
                  </m:sup>
                </m:sSup>
              </m:e>
              <m:sub>
                <m:r>
                  <w:rPr>
                    <w:rFonts w:ascii="Cambria Math" w:hAnsi="Cambria Math" w:cs="Times New Roman"/>
                    <w:color w:val="000000" w:themeColor="text1"/>
                    <w:szCs w:val="24"/>
                  </w:rPr>
                  <m:t>acridine</m:t>
                </m:r>
              </m:sub>
            </m:sSub>
          </m:sub>
        </m:sSub>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Br</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oMath>
      <w:r w:rsidRPr="0087289E">
        <w:rPr>
          <w:rFonts w:cs="Times New Roman"/>
          <w:color w:val="000000" w:themeColor="text1"/>
          <w:szCs w:val="24"/>
        </w:rPr>
        <w:tab/>
        <w:t xml:space="preserve">  </w:t>
      </w:r>
      <w:r w:rsidRPr="0087289E">
        <w:rPr>
          <w:rFonts w:cs="Times New Roman"/>
          <w:color w:val="000000" w:themeColor="text1"/>
          <w:szCs w:val="24"/>
        </w:rPr>
        <w:tab/>
        <w:t xml:space="preserve">                 </w:t>
      </w:r>
    </w:p>
    <w:p w:rsidR="0087289E" w:rsidRPr="0087289E" w:rsidRDefault="0087289E" w:rsidP="0087289E">
      <w:pPr>
        <w:spacing w:after="0" w:line="240" w:lineRule="auto"/>
        <w:rPr>
          <w:rFonts w:cs="Times New Roman"/>
          <w:b/>
          <w:color w:val="000000" w:themeColor="text1"/>
          <w:szCs w:val="24"/>
        </w:rPr>
      </w:pPr>
      <w:r w:rsidRPr="0087289E">
        <w:rPr>
          <w:rFonts w:cs="Times New Roman"/>
          <w:color w:val="000000" w:themeColor="text1"/>
          <w:szCs w:val="24"/>
        </w:rPr>
        <w:lastRenderedPageBreak/>
        <w:t xml:space="preserve">                             </w:t>
      </w:r>
      <w:r w:rsidRPr="0087289E">
        <w:rPr>
          <w:rFonts w:cs="Times New Roman"/>
          <w:color w:val="000000" w:themeColor="text1"/>
          <w:szCs w:val="24"/>
        </w:rPr>
        <w:tab/>
      </w:r>
      <w:r w:rsidRPr="0087289E">
        <w:rPr>
          <w:rFonts w:ascii="Cambria Math" w:hAnsi="Cambria Math" w:cs="Times New Roman"/>
          <w:color w:val="000000" w:themeColor="text1"/>
          <w:szCs w:val="24"/>
        </w:rPr>
        <w:br/>
      </w:r>
      <m:oMathPara>
        <m:oMath>
          <m:f>
            <m:fPr>
              <m:ctrlPr>
                <w:rPr>
                  <w:rFonts w:ascii="Cambria Math" w:hAnsi="Cambria Math" w:cs="Times New Roman"/>
                  <w:i/>
                  <w:color w:val="000000" w:themeColor="text1"/>
                  <w:szCs w:val="24"/>
                </w:rPr>
              </m:ctrlPr>
            </m:fPr>
            <m:num>
              <m:r>
                <m:rPr>
                  <m:sty m:val="p"/>
                </m:rPr>
                <w:rPr>
                  <w:rFonts w:ascii="Cambria Math" w:hAnsi="Cambria Math" w:cs="Times New Roman"/>
                  <w:color w:val="000000" w:themeColor="text1"/>
                  <w:szCs w:val="24"/>
                </w:rPr>
                <m:t>268.613</m:t>
              </m:r>
            </m:num>
            <m:den>
              <m:r>
                <m:rPr>
                  <m:sty m:val="p"/>
                </m:rPr>
                <w:rPr>
                  <w:rFonts w:ascii="Cambria Math" w:hAnsi="Cambria Math" w:cs="Times New Roman"/>
                  <w:color w:val="000000" w:themeColor="text1"/>
                  <w:szCs w:val="24"/>
                </w:rPr>
                <m:t>206.788</m:t>
              </m:r>
            </m:den>
          </m:f>
          <m:r>
            <w:rPr>
              <w:rFonts w:ascii="Cambria Math" w:hAnsi="Cambria Math" w:cs="Times New Roman"/>
              <w:color w:val="000000" w:themeColor="text1"/>
              <w:szCs w:val="24"/>
            </w:rPr>
            <m:t>-1=</m:t>
          </m:r>
          <m:r>
            <w:rPr>
              <w:rFonts w:ascii="Cambria Math" w:hAnsi="Cambria Math" w:cs="Times New Roman"/>
              <w:color w:val="FF0000"/>
              <w:szCs w:val="24"/>
            </w:rPr>
            <m:t>?</m:t>
          </m:r>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Cl</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r>
            <m:rPr>
              <m:sty m:val="p"/>
            </m:rPr>
            <w:rPr>
              <w:rFonts w:ascii="Cambria Math" w:hAnsi="Cambria Math" w:cs="Times New Roman"/>
              <w:color w:val="000000" w:themeColor="text1"/>
              <w:szCs w:val="24"/>
            </w:rPr>
            <m:t>+</m:t>
          </m:r>
          <m:r>
            <w:rPr>
              <w:rFonts w:ascii="Cambria Math" w:hAnsi="Cambria Math" w:cs="Times New Roman"/>
              <w:color w:val="000000" w:themeColor="text1"/>
              <w:szCs w:val="24"/>
            </w:rPr>
            <m:t>309.86</m:t>
          </m:r>
          <m:d>
            <m:dPr>
              <m:begChr m:val="["/>
              <m:endChr m:val="]"/>
              <m:ctrlPr>
                <w:rPr>
                  <w:rFonts w:ascii="Cambria Math" w:hAnsi="Cambria Math" w:cs="Times New Roman"/>
                  <w:i/>
                  <w:color w:val="000000" w:themeColor="text1"/>
                  <w:szCs w:val="24"/>
                </w:rPr>
              </m:ctrlPr>
            </m:dPr>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Br</m:t>
                  </m:r>
                </m:e>
                <m:sup>
                  <m:r>
                    <m:rPr>
                      <m:sty m:val="p"/>
                    </m:rPr>
                    <w:rPr>
                      <w:rFonts w:ascii="Cambria Math" w:hAnsi="Cambria Math" w:cs="Times New Roman"/>
                      <w:color w:val="000000" w:themeColor="text1"/>
                      <w:szCs w:val="24"/>
                    </w:rPr>
                    <m:t>-</m:t>
                  </m:r>
                </m:sup>
              </m:sSup>
              <m:ctrlPr>
                <w:rPr>
                  <w:rFonts w:ascii="Cambria Math" w:hAnsi="Cambria Math" w:cs="Times New Roman"/>
                  <w:color w:val="000000" w:themeColor="text1"/>
                  <w:szCs w:val="24"/>
                </w:rPr>
              </m:ctrlPr>
            </m:e>
          </m:d>
        </m:oMath>
      </m:oMathPara>
    </w:p>
    <w:p w:rsidR="0087289E" w:rsidRDefault="0087289E" w:rsidP="009B691B">
      <w:pPr>
        <w:tabs>
          <w:tab w:val="left" w:pos="7740"/>
        </w:tabs>
        <w:spacing w:after="0" w:line="480" w:lineRule="auto"/>
        <w:contextualSpacing/>
        <w:rPr>
          <w:rFonts w:cs="Times New Roman"/>
          <w:color w:val="000000"/>
          <w:szCs w:val="24"/>
        </w:rPr>
      </w:pPr>
    </w:p>
    <w:p w:rsidR="001E0A90" w:rsidRPr="001E0A90" w:rsidRDefault="001E0A90" w:rsidP="00066AD9">
      <w:pPr>
        <w:tabs>
          <w:tab w:val="left" w:pos="7740"/>
        </w:tabs>
        <w:spacing w:after="0" w:line="240" w:lineRule="auto"/>
        <w:contextualSpacing/>
        <w:rPr>
          <w:b/>
          <w:u w:val="single"/>
        </w:rPr>
      </w:pPr>
      <w:r w:rsidRPr="001E0A90">
        <w:rPr>
          <w:b/>
          <w:u w:val="single"/>
        </w:rPr>
        <w:t>DISCUSSION</w:t>
      </w:r>
    </w:p>
    <w:p w:rsidR="001E0A90" w:rsidRDefault="001E0A90" w:rsidP="00066AD9">
      <w:pPr>
        <w:tabs>
          <w:tab w:val="left" w:pos="7740"/>
        </w:tabs>
        <w:spacing w:after="0" w:line="240" w:lineRule="auto"/>
        <w:contextualSpacing/>
        <w:rPr>
          <w:b/>
        </w:rPr>
      </w:pPr>
    </w:p>
    <w:p w:rsidR="00347381" w:rsidRPr="004552FC" w:rsidRDefault="00066AD9" w:rsidP="00066AD9">
      <w:pPr>
        <w:tabs>
          <w:tab w:val="left" w:pos="7740"/>
        </w:tabs>
        <w:spacing w:after="0" w:line="240" w:lineRule="auto"/>
        <w:contextualSpacing/>
        <w:rPr>
          <w:color w:val="FF0000"/>
        </w:rPr>
      </w:pPr>
      <w:r w:rsidRPr="004552FC">
        <w:rPr>
          <w:i/>
          <w:iCs/>
          <w:color w:val="FF0000"/>
        </w:rPr>
        <w:t>Statistical Analysis</w:t>
      </w:r>
      <w:r w:rsidRPr="004552FC">
        <w:rPr>
          <w:color w:val="FF0000"/>
        </w:rPr>
        <w:t xml:space="preserve">: </w:t>
      </w:r>
    </w:p>
    <w:p w:rsidR="00663FBC" w:rsidRDefault="00663FBC" w:rsidP="00066AD9">
      <w:pPr>
        <w:tabs>
          <w:tab w:val="left" w:pos="7740"/>
        </w:tabs>
        <w:spacing w:after="0" w:line="240" w:lineRule="auto"/>
        <w:contextualSpacing/>
      </w:pPr>
    </w:p>
    <w:p w:rsidR="006D253E" w:rsidRPr="00316978" w:rsidRDefault="009320D4" w:rsidP="00C941D5">
      <w:pPr>
        <w:tabs>
          <w:tab w:val="left" w:pos="7740"/>
        </w:tabs>
        <w:spacing w:after="0" w:line="480" w:lineRule="auto"/>
        <w:contextualSpacing/>
        <w:rPr>
          <w:color w:val="FF0000"/>
        </w:rPr>
      </w:pPr>
      <w:r>
        <w:t xml:space="preserve">     </w:t>
      </w:r>
    </w:p>
    <w:p w:rsidR="00347381" w:rsidRDefault="00066AD9" w:rsidP="00066AD9">
      <w:pPr>
        <w:tabs>
          <w:tab w:val="left" w:pos="7740"/>
        </w:tabs>
        <w:spacing w:after="0" w:line="240" w:lineRule="auto"/>
        <w:contextualSpacing/>
      </w:pPr>
      <w:r w:rsidRPr="00066AD9">
        <w:rPr>
          <w:i/>
          <w:iCs/>
        </w:rPr>
        <w:t>Analysis of Sources of Error</w:t>
      </w:r>
      <w:r w:rsidRPr="00066AD9">
        <w:t xml:space="preserve">: </w:t>
      </w:r>
    </w:p>
    <w:p w:rsidR="00DD79C4" w:rsidRDefault="00DD79C4" w:rsidP="00066AD9">
      <w:pPr>
        <w:tabs>
          <w:tab w:val="left" w:pos="7740"/>
        </w:tabs>
        <w:spacing w:after="0" w:line="240" w:lineRule="auto"/>
        <w:contextualSpacing/>
      </w:pPr>
    </w:p>
    <w:p w:rsidR="00DD79C4" w:rsidRDefault="009C7869" w:rsidP="009C7869">
      <w:pPr>
        <w:tabs>
          <w:tab w:val="left" w:pos="7740"/>
        </w:tabs>
        <w:spacing w:after="0" w:line="480" w:lineRule="auto"/>
        <w:contextualSpacing/>
      </w:pPr>
      <w:r>
        <w:t xml:space="preserve">     </w:t>
      </w:r>
      <w:r w:rsidR="00097BC9">
        <w:t xml:space="preserve">Fluorescence quenching is a very sensitive technique and is highly susceptible to interference by contamination of any trace level of an organic chemical.  To eliminate this error, rinsing the cuvette </w:t>
      </w:r>
      <w:r w:rsidR="00097BC9" w:rsidRPr="007D23FB">
        <w:t xml:space="preserve">with an aliquot of </w:t>
      </w:r>
      <w:proofErr w:type="spellStart"/>
      <w:r w:rsidR="00097BC9" w:rsidRPr="007D23FB">
        <w:t>analyte</w:t>
      </w:r>
      <w:proofErr w:type="spellEnd"/>
      <w:r w:rsidR="00097BC9" w:rsidRPr="007D23FB">
        <w:t xml:space="preserve"> solution prior to each analysis</w:t>
      </w:r>
      <w:r w:rsidR="00097BC9">
        <w:t xml:space="preserve"> is essential.  </w:t>
      </w:r>
      <w:r w:rsidR="00B62B82">
        <w:t xml:space="preserve">An error can be attributed </w:t>
      </w:r>
      <w:r w:rsidR="00094D28">
        <w:t xml:space="preserve">to pH and temperature.  Errors associated with pH effects can be reduced or eliminated by using </w:t>
      </w:r>
      <w:proofErr w:type="spellStart"/>
      <w:r w:rsidR="00094D28">
        <w:t>nonaqueous</w:t>
      </w:r>
      <w:proofErr w:type="spellEnd"/>
      <w:r w:rsidR="00094D28">
        <w:t xml:space="preserve"> solvents.  Though room temperature does not significantly affect fluorescence intensities, </w:t>
      </w:r>
      <w:r w:rsidR="00C101A5">
        <w:t xml:space="preserve">increased molecular collisions occur more frequently at higher temperatures which decrease fluorescence intensity.  Maintaining a constant temperature will reduce this error.  </w:t>
      </w:r>
      <w:r w:rsidR="00094D28">
        <w:t xml:space="preserve">An error can result from selecting dyes that are similar in color causing the peaks to overlap.  Potential interactions should be considered when choosing color combination.  </w:t>
      </w:r>
      <w:proofErr w:type="spellStart"/>
      <w:r w:rsidR="00094D28">
        <w:t>Nonfluorescent</w:t>
      </w:r>
      <w:proofErr w:type="spellEnd"/>
      <w:r w:rsidR="00094D28">
        <w:t xml:space="preserve"> dyes can interfere with emitted light from the fluorescent dyes causing a decrease in the fluorescence signal and giving an inaccurate reading.  To prevent this error, ensure fluorescent dyes are selected for the experiment.  </w:t>
      </w:r>
    </w:p>
    <w:p w:rsidR="000968CA" w:rsidRPr="004552FC" w:rsidRDefault="00066AD9" w:rsidP="0096082B">
      <w:pPr>
        <w:tabs>
          <w:tab w:val="left" w:pos="7740"/>
        </w:tabs>
        <w:spacing w:after="0" w:line="240" w:lineRule="auto"/>
        <w:contextualSpacing/>
        <w:rPr>
          <w:color w:val="FF0000"/>
        </w:rPr>
      </w:pPr>
      <w:r w:rsidRPr="004552FC">
        <w:rPr>
          <w:i/>
          <w:iCs/>
          <w:color w:val="FF0000"/>
        </w:rPr>
        <w:t>Significance</w:t>
      </w:r>
      <w:r w:rsidRPr="004552FC">
        <w:rPr>
          <w:color w:val="FF0000"/>
        </w:rPr>
        <w:t xml:space="preserve">: </w:t>
      </w:r>
    </w:p>
    <w:p w:rsidR="00AB7882" w:rsidRDefault="00AB7882" w:rsidP="0096082B">
      <w:pPr>
        <w:tabs>
          <w:tab w:val="left" w:pos="7740"/>
        </w:tabs>
        <w:spacing w:after="0" w:line="240" w:lineRule="auto"/>
        <w:contextualSpacing/>
      </w:pPr>
    </w:p>
    <w:p w:rsidR="00B73328" w:rsidRDefault="00B73328" w:rsidP="00B73328">
      <w:pPr>
        <w:tabs>
          <w:tab w:val="left" w:pos="7740"/>
        </w:tabs>
        <w:spacing w:after="0" w:line="480" w:lineRule="auto"/>
        <w:contextualSpacing/>
      </w:pPr>
      <w:r>
        <w:t xml:space="preserve">    </w:t>
      </w:r>
    </w:p>
    <w:p w:rsidR="00066AD9" w:rsidRPr="004552FC" w:rsidRDefault="00066AD9" w:rsidP="00066AD9">
      <w:pPr>
        <w:tabs>
          <w:tab w:val="left" w:pos="7740"/>
        </w:tabs>
        <w:spacing w:after="0" w:line="240" w:lineRule="auto"/>
        <w:contextualSpacing/>
        <w:rPr>
          <w:color w:val="FF0000"/>
        </w:rPr>
      </w:pPr>
      <w:r w:rsidRPr="004552FC">
        <w:rPr>
          <w:i/>
          <w:color w:val="FF0000"/>
        </w:rPr>
        <w:t>Conclusion</w:t>
      </w:r>
      <w:r w:rsidRPr="004552FC">
        <w:rPr>
          <w:color w:val="FF0000"/>
        </w:rPr>
        <w:t xml:space="preserve">: </w:t>
      </w:r>
    </w:p>
    <w:p w:rsidR="001846EC" w:rsidRDefault="001846EC" w:rsidP="00066AD9">
      <w:pPr>
        <w:tabs>
          <w:tab w:val="left" w:pos="7740"/>
        </w:tabs>
        <w:spacing w:after="0" w:line="240" w:lineRule="auto"/>
        <w:contextualSpacing/>
      </w:pPr>
      <w:r>
        <w:t xml:space="preserve">    </w:t>
      </w:r>
    </w:p>
    <w:p w:rsidR="00151FE4" w:rsidRDefault="00151FE4" w:rsidP="00066AD9">
      <w:pPr>
        <w:tabs>
          <w:tab w:val="left" w:pos="7740"/>
        </w:tabs>
        <w:spacing w:after="0" w:line="240" w:lineRule="auto"/>
        <w:contextualSpacing/>
      </w:pPr>
    </w:p>
    <w:p w:rsidR="000404C8" w:rsidRDefault="000404C8" w:rsidP="00066AD9">
      <w:pPr>
        <w:tabs>
          <w:tab w:val="left" w:pos="7740"/>
        </w:tabs>
        <w:spacing w:after="0" w:line="240" w:lineRule="auto"/>
        <w:contextualSpacing/>
      </w:pPr>
    </w:p>
    <w:p w:rsidR="005319F8" w:rsidRDefault="005319F8" w:rsidP="00066AD9">
      <w:pPr>
        <w:tabs>
          <w:tab w:val="left" w:pos="7740"/>
        </w:tabs>
        <w:spacing w:after="0" w:line="240" w:lineRule="auto"/>
        <w:contextualSpacing/>
      </w:pPr>
    </w:p>
    <w:p w:rsidR="005319F8" w:rsidRDefault="005319F8" w:rsidP="00066AD9">
      <w:pPr>
        <w:tabs>
          <w:tab w:val="left" w:pos="7740"/>
        </w:tabs>
        <w:spacing w:after="0" w:line="240" w:lineRule="auto"/>
        <w:contextualSpacing/>
      </w:pPr>
    </w:p>
    <w:p w:rsidR="005319F8" w:rsidRDefault="005319F8" w:rsidP="00066AD9">
      <w:pPr>
        <w:tabs>
          <w:tab w:val="left" w:pos="7740"/>
        </w:tabs>
        <w:spacing w:after="0" w:line="240" w:lineRule="auto"/>
        <w:contextualSpacing/>
      </w:pPr>
    </w:p>
    <w:p w:rsidR="000404C8" w:rsidRDefault="000404C8" w:rsidP="00066AD9">
      <w:pPr>
        <w:tabs>
          <w:tab w:val="left" w:pos="7740"/>
        </w:tabs>
        <w:spacing w:after="0" w:line="240" w:lineRule="auto"/>
        <w:contextualSpacing/>
      </w:pPr>
    </w:p>
    <w:p w:rsidR="000404C8" w:rsidRDefault="000404C8" w:rsidP="00066AD9">
      <w:pPr>
        <w:tabs>
          <w:tab w:val="left" w:pos="7740"/>
        </w:tabs>
        <w:spacing w:after="0" w:line="240" w:lineRule="auto"/>
        <w:contextualSpacing/>
      </w:pPr>
    </w:p>
    <w:p w:rsidR="00066AD9" w:rsidRDefault="00066AD9" w:rsidP="00066AD9">
      <w:pPr>
        <w:tabs>
          <w:tab w:val="left" w:pos="7740"/>
        </w:tabs>
        <w:spacing w:after="0" w:line="240" w:lineRule="auto"/>
        <w:contextualSpacing/>
        <w:rPr>
          <w:b/>
        </w:rPr>
      </w:pPr>
      <w:r w:rsidRPr="005754C0">
        <w:rPr>
          <w:b/>
        </w:rPr>
        <w:t>G. Points for Discussion</w:t>
      </w:r>
    </w:p>
    <w:p w:rsidR="004D677C" w:rsidRPr="005754C0" w:rsidRDefault="004D677C" w:rsidP="00066AD9">
      <w:pPr>
        <w:tabs>
          <w:tab w:val="left" w:pos="7740"/>
        </w:tabs>
        <w:spacing w:after="0" w:line="240" w:lineRule="auto"/>
        <w:contextualSpacing/>
        <w:rPr>
          <w:b/>
        </w:rPr>
      </w:pPr>
    </w:p>
    <w:p w:rsidR="004659AC" w:rsidRDefault="004659AC" w:rsidP="004659AC">
      <w:pPr>
        <w:numPr>
          <w:ilvl w:val="0"/>
          <w:numId w:val="10"/>
        </w:numPr>
        <w:spacing w:after="0" w:line="240" w:lineRule="auto"/>
        <w:contextualSpacing/>
        <w:jc w:val="both"/>
        <w:rPr>
          <w:rFonts w:cs="Times New Roman"/>
          <w:szCs w:val="24"/>
        </w:rPr>
      </w:pPr>
      <w:r w:rsidRPr="004659AC">
        <w:rPr>
          <w:rFonts w:cs="Times New Roman"/>
          <w:szCs w:val="24"/>
        </w:rPr>
        <w:t xml:space="preserve">In a typical </w:t>
      </w:r>
      <w:proofErr w:type="spellStart"/>
      <w:r w:rsidRPr="004659AC">
        <w:rPr>
          <w:rFonts w:cs="Times New Roman"/>
          <w:szCs w:val="24"/>
        </w:rPr>
        <w:t>fluorometer</w:t>
      </w:r>
      <w:proofErr w:type="spellEnd"/>
      <w:r w:rsidRPr="004659AC">
        <w:rPr>
          <w:rFonts w:cs="Times New Roman"/>
          <w:szCs w:val="24"/>
        </w:rPr>
        <w:t xml:space="preserve"> configuration, the detector is oriented at a 90° angle relative to the excitation source.  Why?  How is this orientation different from a typical configuration in a single-beam UV/Vis spectrometer? </w:t>
      </w:r>
      <w:r w:rsidR="005C0BC3" w:rsidRPr="003B4FA0">
        <w:rPr>
          <w:rFonts w:cs="Times New Roman"/>
          <w:szCs w:val="24"/>
        </w:rPr>
        <w:t xml:space="preserve"> The detector is oriented at 90</w:t>
      </w:r>
      <w:r w:rsidR="005C0BC3" w:rsidRPr="003B4FA0">
        <w:rPr>
          <w:rFonts w:cs="Times New Roman"/>
          <w:szCs w:val="24"/>
          <w:vertAlign w:val="superscript"/>
        </w:rPr>
        <w:t>o</w:t>
      </w:r>
      <w:r w:rsidR="005C0BC3" w:rsidRPr="003B4FA0">
        <w:rPr>
          <w:rFonts w:cs="Times New Roman"/>
          <w:szCs w:val="24"/>
        </w:rPr>
        <w:t xml:space="preserve"> to eliminate background signal and minimize noise from stray light.  </w:t>
      </w:r>
      <w:r w:rsidR="00097BC9">
        <w:rPr>
          <w:rFonts w:cs="Times New Roman"/>
          <w:szCs w:val="24"/>
        </w:rPr>
        <w:t>The cuvette has a 1 cm path length.  If the cuvette is not inserted at a 90</w:t>
      </w:r>
      <w:r w:rsidR="00097BC9" w:rsidRPr="00097BC9">
        <w:rPr>
          <w:rFonts w:cs="Times New Roman"/>
          <w:szCs w:val="24"/>
          <w:vertAlign w:val="superscript"/>
        </w:rPr>
        <w:t>o</w:t>
      </w:r>
      <w:r w:rsidR="00097BC9">
        <w:rPr>
          <w:rFonts w:cs="Times New Roman"/>
          <w:szCs w:val="24"/>
        </w:rPr>
        <w:t xml:space="preserve"> angle like in single-beam UV/V</w:t>
      </w:r>
      <w:r w:rsidR="00DE0F6E">
        <w:rPr>
          <w:rFonts w:cs="Times New Roman"/>
          <w:szCs w:val="24"/>
        </w:rPr>
        <w:t>is</w:t>
      </w:r>
      <w:r w:rsidR="00097BC9">
        <w:rPr>
          <w:rFonts w:cs="Times New Roman"/>
          <w:szCs w:val="24"/>
        </w:rPr>
        <w:t xml:space="preserve"> then the path length is shortened.  Since absorbance is dependent on path length then the absorbance would be smaller than expected for a given concentration sample.</w:t>
      </w:r>
    </w:p>
    <w:p w:rsidR="00097BC9" w:rsidRDefault="00097BC9" w:rsidP="00097BC9">
      <w:pPr>
        <w:spacing w:after="0" w:line="240" w:lineRule="auto"/>
        <w:contextualSpacing/>
        <w:jc w:val="both"/>
        <w:rPr>
          <w:rFonts w:cs="Times New Roman"/>
          <w:szCs w:val="24"/>
        </w:rPr>
      </w:pPr>
    </w:p>
    <w:p w:rsidR="004659AC" w:rsidRPr="004659AC" w:rsidRDefault="004659AC" w:rsidP="004659AC">
      <w:pPr>
        <w:numPr>
          <w:ilvl w:val="0"/>
          <w:numId w:val="10"/>
        </w:numPr>
        <w:spacing w:after="0" w:line="240" w:lineRule="auto"/>
        <w:contextualSpacing/>
        <w:jc w:val="both"/>
        <w:rPr>
          <w:rFonts w:cs="Times New Roman"/>
          <w:szCs w:val="24"/>
        </w:rPr>
      </w:pPr>
      <w:r w:rsidRPr="004659AC">
        <w:rPr>
          <w:rFonts w:cs="Times New Roman"/>
          <w:color w:val="FF0000"/>
          <w:szCs w:val="24"/>
        </w:rPr>
        <w:t xml:space="preserve">In this experiment, are the photons emitted by the </w:t>
      </w:r>
      <w:proofErr w:type="spellStart"/>
      <w:r w:rsidRPr="004659AC">
        <w:rPr>
          <w:rFonts w:cs="Times New Roman"/>
          <w:color w:val="FF0000"/>
          <w:szCs w:val="24"/>
        </w:rPr>
        <w:t>fluorophore</w:t>
      </w:r>
      <w:proofErr w:type="spellEnd"/>
      <w:r w:rsidRPr="004659AC">
        <w:rPr>
          <w:rFonts w:cs="Times New Roman"/>
          <w:color w:val="FF0000"/>
          <w:szCs w:val="24"/>
        </w:rPr>
        <w:t xml:space="preserve"> more or less energetic than the excitation photons.  Why</w:t>
      </w:r>
      <w:r w:rsidRPr="004659AC">
        <w:rPr>
          <w:rFonts w:cs="Times New Roman"/>
          <w:szCs w:val="24"/>
        </w:rPr>
        <w:t xml:space="preserve">? </w:t>
      </w:r>
      <w:r w:rsidR="00B501FA">
        <w:rPr>
          <w:rFonts w:cs="Times New Roman"/>
          <w:szCs w:val="24"/>
        </w:rPr>
        <w:t xml:space="preserve"> </w:t>
      </w:r>
    </w:p>
    <w:p w:rsidR="004659AC" w:rsidRPr="004659AC" w:rsidRDefault="004659AC" w:rsidP="004659AC">
      <w:pPr>
        <w:spacing w:after="0" w:line="240" w:lineRule="auto"/>
        <w:ind w:left="720"/>
        <w:contextualSpacing/>
        <w:rPr>
          <w:rFonts w:cs="Times New Roman"/>
          <w:szCs w:val="24"/>
        </w:rPr>
      </w:pPr>
    </w:p>
    <w:p w:rsidR="004659AC" w:rsidRPr="004659AC" w:rsidRDefault="004659AC" w:rsidP="000404C8">
      <w:pPr>
        <w:numPr>
          <w:ilvl w:val="0"/>
          <w:numId w:val="10"/>
        </w:numPr>
        <w:spacing w:after="0" w:line="240" w:lineRule="auto"/>
        <w:contextualSpacing/>
        <w:jc w:val="both"/>
        <w:rPr>
          <w:rFonts w:cs="Times New Roman"/>
          <w:szCs w:val="24"/>
        </w:rPr>
      </w:pPr>
      <w:r w:rsidRPr="004659AC">
        <w:rPr>
          <w:rFonts w:cs="Times New Roman"/>
          <w:szCs w:val="24"/>
        </w:rPr>
        <w:t>How does a fluorescence cuvette differ from one used in UV/Vis spectroscopy?</w:t>
      </w:r>
      <w:r w:rsidR="003B4FA0">
        <w:rPr>
          <w:rFonts w:cs="Times New Roman"/>
          <w:szCs w:val="24"/>
        </w:rPr>
        <w:t xml:space="preserve">  </w:t>
      </w:r>
      <w:r w:rsidR="000404C8">
        <w:rPr>
          <w:rFonts w:cs="Times New Roman"/>
          <w:szCs w:val="24"/>
        </w:rPr>
        <w:t>Fluorescence cuvettes must be clear on all four sides so when it is placed at a 90</w:t>
      </w:r>
      <w:r w:rsidR="000404C8" w:rsidRPr="00775F24">
        <w:rPr>
          <w:rFonts w:cs="Times New Roman"/>
          <w:szCs w:val="24"/>
          <w:vertAlign w:val="superscript"/>
        </w:rPr>
        <w:t>o</w:t>
      </w:r>
      <w:r w:rsidR="000404C8">
        <w:rPr>
          <w:rFonts w:cs="Times New Roman"/>
          <w:szCs w:val="24"/>
        </w:rPr>
        <w:t xml:space="preserve"> angle the beam contributions are limited when the measurement is taken</w:t>
      </w:r>
      <w:r w:rsidR="007B4ADA">
        <w:rPr>
          <w:rFonts w:cs="Times New Roman"/>
          <w:szCs w:val="24"/>
        </w:rPr>
        <w:t xml:space="preserve"> reducing signal and noise</w:t>
      </w:r>
      <w:r w:rsidR="000404C8">
        <w:rPr>
          <w:rFonts w:cs="Times New Roman"/>
          <w:szCs w:val="24"/>
        </w:rPr>
        <w:t xml:space="preserve">. </w:t>
      </w:r>
      <w:r w:rsidR="00775F24">
        <w:rPr>
          <w:rFonts w:cs="Times New Roman"/>
          <w:szCs w:val="24"/>
        </w:rPr>
        <w:t xml:space="preserve">The cuvette for a UV/Vis spectroscopy </w:t>
      </w:r>
      <w:r w:rsidR="000404C8" w:rsidRPr="000404C8">
        <w:rPr>
          <w:rFonts w:cs="Times New Roman"/>
          <w:szCs w:val="24"/>
        </w:rPr>
        <w:t xml:space="preserve">is clear on </w:t>
      </w:r>
      <w:r w:rsidR="007B4ADA">
        <w:rPr>
          <w:rFonts w:cs="Times New Roman"/>
          <w:szCs w:val="24"/>
        </w:rPr>
        <w:t>two</w:t>
      </w:r>
      <w:r w:rsidR="000404C8" w:rsidRPr="000404C8">
        <w:rPr>
          <w:rFonts w:cs="Times New Roman"/>
          <w:szCs w:val="24"/>
        </w:rPr>
        <w:t xml:space="preserve"> sides and cloudy on the other </w:t>
      </w:r>
      <w:r w:rsidR="007B4ADA">
        <w:rPr>
          <w:rFonts w:cs="Times New Roman"/>
          <w:szCs w:val="24"/>
        </w:rPr>
        <w:t>two</w:t>
      </w:r>
      <w:r w:rsidR="00775F24">
        <w:rPr>
          <w:rFonts w:cs="Times New Roman"/>
          <w:szCs w:val="24"/>
        </w:rPr>
        <w:t xml:space="preserve">.  </w:t>
      </w:r>
    </w:p>
    <w:p w:rsidR="004659AC" w:rsidRPr="004659AC" w:rsidRDefault="004659AC" w:rsidP="004659AC">
      <w:pPr>
        <w:spacing w:after="0" w:line="240" w:lineRule="auto"/>
        <w:ind w:left="720"/>
        <w:contextualSpacing/>
        <w:rPr>
          <w:rFonts w:cs="Times New Roman"/>
          <w:szCs w:val="24"/>
        </w:rPr>
      </w:pPr>
    </w:p>
    <w:p w:rsidR="00556EDE" w:rsidRDefault="004659AC" w:rsidP="00556EDE">
      <w:pPr>
        <w:numPr>
          <w:ilvl w:val="0"/>
          <w:numId w:val="10"/>
        </w:numPr>
        <w:spacing w:after="0" w:line="240" w:lineRule="auto"/>
        <w:contextualSpacing/>
        <w:jc w:val="both"/>
        <w:rPr>
          <w:rFonts w:cs="Times New Roman"/>
          <w:szCs w:val="24"/>
        </w:rPr>
      </w:pPr>
      <w:r w:rsidRPr="004659AC">
        <w:rPr>
          <w:rFonts w:cs="Times New Roman"/>
          <w:szCs w:val="24"/>
        </w:rPr>
        <w:t xml:space="preserve">What generally has more energy:  The incident photon absorbed by a </w:t>
      </w:r>
      <w:proofErr w:type="spellStart"/>
      <w:r w:rsidRPr="004659AC">
        <w:rPr>
          <w:rFonts w:cs="Times New Roman"/>
          <w:szCs w:val="24"/>
        </w:rPr>
        <w:t>fluorophore</w:t>
      </w:r>
      <w:proofErr w:type="spellEnd"/>
      <w:r w:rsidRPr="004659AC">
        <w:rPr>
          <w:rFonts w:cs="Times New Roman"/>
          <w:szCs w:val="24"/>
        </w:rPr>
        <w:t xml:space="preserve"> or the photon emitted by the </w:t>
      </w:r>
      <w:proofErr w:type="spellStart"/>
      <w:r w:rsidRPr="004659AC">
        <w:rPr>
          <w:rFonts w:cs="Times New Roman"/>
          <w:szCs w:val="24"/>
        </w:rPr>
        <w:t>fluorophore</w:t>
      </w:r>
      <w:proofErr w:type="spellEnd"/>
      <w:r w:rsidRPr="004659AC">
        <w:rPr>
          <w:rFonts w:cs="Times New Roman"/>
          <w:szCs w:val="24"/>
        </w:rPr>
        <w:t xml:space="preserve"> as fluorescence?  Why?  Use a diagram to justify your answer.</w:t>
      </w:r>
      <w:r w:rsidR="00556EDE">
        <w:rPr>
          <w:rFonts w:cs="Times New Roman"/>
          <w:szCs w:val="24"/>
        </w:rPr>
        <w:t xml:space="preserve">  The </w:t>
      </w:r>
      <w:r w:rsidR="00C2364F">
        <w:rPr>
          <w:rFonts w:cs="Times New Roman"/>
          <w:szCs w:val="24"/>
        </w:rPr>
        <w:t xml:space="preserve">photon absorbed by a </w:t>
      </w:r>
      <w:proofErr w:type="spellStart"/>
      <w:r w:rsidR="00C2364F">
        <w:rPr>
          <w:rFonts w:cs="Times New Roman"/>
          <w:szCs w:val="24"/>
        </w:rPr>
        <w:t>fluo</w:t>
      </w:r>
      <w:r w:rsidR="00B501FA">
        <w:rPr>
          <w:rFonts w:cs="Times New Roman"/>
          <w:szCs w:val="24"/>
        </w:rPr>
        <w:t>ro</w:t>
      </w:r>
      <w:r w:rsidR="00C2364F">
        <w:rPr>
          <w:rFonts w:cs="Times New Roman"/>
          <w:szCs w:val="24"/>
        </w:rPr>
        <w:t>phore</w:t>
      </w:r>
      <w:proofErr w:type="spellEnd"/>
      <w:r w:rsidR="00C2364F">
        <w:rPr>
          <w:rFonts w:cs="Times New Roman"/>
          <w:szCs w:val="24"/>
        </w:rPr>
        <w:t xml:space="preserve"> has more energy than the photon emitted by the </w:t>
      </w:r>
      <w:proofErr w:type="spellStart"/>
      <w:r w:rsidR="00C2364F">
        <w:rPr>
          <w:rFonts w:cs="Times New Roman"/>
          <w:szCs w:val="24"/>
        </w:rPr>
        <w:t>fluorophore</w:t>
      </w:r>
      <w:proofErr w:type="spellEnd"/>
      <w:r w:rsidR="00C2364F">
        <w:rPr>
          <w:rFonts w:cs="Times New Roman"/>
          <w:szCs w:val="24"/>
        </w:rPr>
        <w:t xml:space="preserve"> as fluorescence due to the energy dissipation during the excited state creating longer wavelengths.</w:t>
      </w:r>
    </w:p>
    <w:p w:rsidR="007A547F" w:rsidRPr="003B4FA0" w:rsidRDefault="007A547F" w:rsidP="00556EDE">
      <w:pPr>
        <w:autoSpaceDE w:val="0"/>
        <w:autoSpaceDN w:val="0"/>
        <w:adjustRightInd w:val="0"/>
        <w:spacing w:after="120" w:line="240" w:lineRule="auto"/>
        <w:rPr>
          <w:rFonts w:cs="Times New Roman"/>
          <w:szCs w:val="24"/>
        </w:rPr>
      </w:pPr>
    </w:p>
    <w:p w:rsidR="007A547F" w:rsidRDefault="003C7C0A" w:rsidP="007A547F">
      <w:pPr>
        <w:autoSpaceDE w:val="0"/>
        <w:autoSpaceDN w:val="0"/>
        <w:adjustRightInd w:val="0"/>
        <w:spacing w:after="120" w:line="240" w:lineRule="auto"/>
        <w:rPr>
          <w:rFonts w:cs="Times New Roman"/>
          <w:szCs w:val="24"/>
        </w:rPr>
      </w:pPr>
      <w:hyperlink r:id="rId14" w:history="1">
        <w:r w:rsidR="00C2364F" w:rsidRPr="008F1509">
          <w:rPr>
            <w:rStyle w:val="Hyperlink"/>
            <w:szCs w:val="24"/>
          </w:rPr>
          <w:t>http://www.jacksonimmuno.com/technical/f-cy3-5.asp</w:t>
        </w:r>
      </w:hyperlink>
      <w:r w:rsidR="00C2364F">
        <w:rPr>
          <w:rFonts w:cs="Times New Roman"/>
          <w:szCs w:val="24"/>
        </w:rPr>
        <w:t xml:space="preserve"> (has a table verifying this statement)</w:t>
      </w:r>
    </w:p>
    <w:p w:rsidR="00C2364F" w:rsidRDefault="003C7C0A" w:rsidP="007A547F">
      <w:pPr>
        <w:autoSpaceDE w:val="0"/>
        <w:autoSpaceDN w:val="0"/>
        <w:adjustRightInd w:val="0"/>
        <w:spacing w:after="120" w:line="240" w:lineRule="auto"/>
        <w:rPr>
          <w:rFonts w:cs="Times New Roman"/>
          <w:szCs w:val="24"/>
        </w:rPr>
      </w:pPr>
      <w:hyperlink r:id="rId15" w:history="1">
        <w:r w:rsidR="00C2364F" w:rsidRPr="008F1509">
          <w:rPr>
            <w:rStyle w:val="Hyperlink"/>
            <w:szCs w:val="24"/>
          </w:rPr>
          <w:t>http://www.dkfz.de/Macromol/teaching/files/fcs_practical.pdf</w:t>
        </w:r>
      </w:hyperlink>
      <w:r w:rsidR="00C2364F">
        <w:rPr>
          <w:rFonts w:cs="Times New Roman"/>
          <w:szCs w:val="24"/>
        </w:rPr>
        <w:t xml:space="preserve">  (page 7 picture section 1.3.2)</w:t>
      </w:r>
    </w:p>
    <w:p w:rsidR="001F76C1" w:rsidRPr="001F76C1" w:rsidRDefault="001F76C1" w:rsidP="001F76C1">
      <w:pPr>
        <w:tabs>
          <w:tab w:val="left" w:pos="7740"/>
        </w:tabs>
        <w:spacing w:after="0" w:line="240" w:lineRule="auto"/>
        <w:contextualSpacing/>
        <w:jc w:val="center"/>
        <w:rPr>
          <w:b/>
        </w:rPr>
      </w:pPr>
      <w:r w:rsidRPr="001F76C1">
        <w:rPr>
          <w:b/>
        </w:rPr>
        <w:t>References</w:t>
      </w:r>
    </w:p>
    <w:p w:rsidR="001F76C1" w:rsidRDefault="001F76C1" w:rsidP="001F76C1">
      <w:pPr>
        <w:tabs>
          <w:tab w:val="left" w:pos="7740"/>
        </w:tabs>
        <w:spacing w:after="0" w:line="240" w:lineRule="auto"/>
        <w:contextualSpacing/>
      </w:pPr>
    </w:p>
    <w:p w:rsidR="00AB5DC7" w:rsidRPr="00AB5DC7" w:rsidRDefault="00994B32" w:rsidP="00AB5DC7">
      <w:pPr>
        <w:tabs>
          <w:tab w:val="left" w:pos="7740"/>
        </w:tabs>
        <w:spacing w:after="0" w:line="240" w:lineRule="auto"/>
        <w:contextualSpacing/>
      </w:pPr>
      <w:r>
        <w:t xml:space="preserve">1.  </w:t>
      </w:r>
      <w:proofErr w:type="spellStart"/>
      <w:r w:rsidR="00AB5DC7" w:rsidRPr="00AB5DC7">
        <w:t>Bai</w:t>
      </w:r>
      <w:proofErr w:type="spellEnd"/>
      <w:r w:rsidR="00AB5DC7" w:rsidRPr="00AB5DC7">
        <w:t xml:space="preserve">, Y, Fu, P, Li, W, Xing, B, Wu, F, Liu, C, &amp; </w:t>
      </w:r>
      <w:proofErr w:type="spellStart"/>
      <w:r w:rsidR="00AB5DC7" w:rsidRPr="00AB5DC7">
        <w:t>Guo</w:t>
      </w:r>
      <w:proofErr w:type="spellEnd"/>
      <w:r w:rsidR="00AB5DC7" w:rsidRPr="00AB5DC7">
        <w:t xml:space="preserve">, J 2008, 'Interaction between carbamazepine and </w:t>
      </w:r>
      <w:proofErr w:type="spellStart"/>
      <w:r w:rsidR="00AB5DC7" w:rsidRPr="00AB5DC7">
        <w:t>humic</w:t>
      </w:r>
      <w:proofErr w:type="spellEnd"/>
      <w:r w:rsidR="00AB5DC7" w:rsidRPr="00AB5DC7">
        <w:t xml:space="preserve"> substances: a fluorescence spectroscopy study', </w:t>
      </w:r>
      <w:r w:rsidR="00AB5DC7" w:rsidRPr="00AB5DC7">
        <w:rPr>
          <w:i/>
          <w:iCs/>
        </w:rPr>
        <w:t>Environmental Toxicology And Chemistry</w:t>
      </w:r>
      <w:r w:rsidR="00AB5DC7" w:rsidRPr="00AB5DC7">
        <w:t xml:space="preserve">, 27, 1, pp. 95-102, Agricola, </w:t>
      </w:r>
      <w:proofErr w:type="spellStart"/>
      <w:r w:rsidR="00AB5DC7" w:rsidRPr="00AB5DC7">
        <w:t>EBSCO</w:t>
      </w:r>
      <w:r w:rsidR="00AB5DC7" w:rsidRPr="00AB5DC7">
        <w:rPr>
          <w:i/>
          <w:iCs/>
        </w:rPr>
        <w:t>host</w:t>
      </w:r>
      <w:proofErr w:type="spellEnd"/>
      <w:r w:rsidR="00AB5DC7" w:rsidRPr="00AB5DC7">
        <w:t>, viewed 16 June 2013.</w:t>
      </w:r>
    </w:p>
    <w:p w:rsidR="000634BD" w:rsidRDefault="000634BD" w:rsidP="001F76C1">
      <w:pPr>
        <w:tabs>
          <w:tab w:val="left" w:pos="7740"/>
        </w:tabs>
        <w:spacing w:after="0" w:line="240" w:lineRule="auto"/>
        <w:contextualSpacing/>
      </w:pPr>
    </w:p>
    <w:p w:rsidR="000634BD" w:rsidRDefault="00191DD8" w:rsidP="001F76C1">
      <w:pPr>
        <w:tabs>
          <w:tab w:val="left" w:pos="7740"/>
        </w:tabs>
        <w:spacing w:after="0" w:line="240" w:lineRule="auto"/>
        <w:contextualSpacing/>
      </w:pPr>
      <w:r>
        <w:t xml:space="preserve">2.  </w:t>
      </w:r>
      <w:r w:rsidR="00D57E7C" w:rsidRPr="00D57E7C">
        <w:t xml:space="preserve">Jong </w:t>
      </w:r>
      <w:proofErr w:type="spellStart"/>
      <w:r w:rsidR="00D57E7C" w:rsidRPr="00D57E7C">
        <w:t>Yol</w:t>
      </w:r>
      <w:proofErr w:type="spellEnd"/>
      <w:r w:rsidR="00D57E7C" w:rsidRPr="00D57E7C">
        <w:t xml:space="preserve">, P, </w:t>
      </w:r>
      <w:proofErr w:type="spellStart"/>
      <w:r w:rsidR="00D57E7C" w:rsidRPr="00D57E7C">
        <w:t>Byoung</w:t>
      </w:r>
      <w:proofErr w:type="spellEnd"/>
      <w:r w:rsidR="00D57E7C" w:rsidRPr="00D57E7C">
        <w:t xml:space="preserve"> </w:t>
      </w:r>
      <w:proofErr w:type="spellStart"/>
      <w:r w:rsidR="00D57E7C" w:rsidRPr="00D57E7C">
        <w:t>Cheun</w:t>
      </w:r>
      <w:proofErr w:type="spellEnd"/>
      <w:r w:rsidR="00D57E7C" w:rsidRPr="00D57E7C">
        <w:t xml:space="preserve">, L, Jin Sung, R, </w:t>
      </w:r>
      <w:proofErr w:type="spellStart"/>
      <w:r w:rsidR="00D57E7C" w:rsidRPr="00D57E7C">
        <w:t>Jiho</w:t>
      </w:r>
      <w:proofErr w:type="spellEnd"/>
      <w:r w:rsidR="00D57E7C" w:rsidRPr="00D57E7C">
        <w:t xml:space="preserve">, L, &amp; Sang Don, K 2008, 'EFFECT OF COPPER COMPLEXATION ON THE ESTROGENIC ACTIVITIES OF ENDOCRINE-DISRUPTING COMPOUNDS USING E-SCREEN BIOASSAY', </w:t>
      </w:r>
      <w:r w:rsidR="00D57E7C" w:rsidRPr="00D57E7C">
        <w:rPr>
          <w:i/>
          <w:iCs/>
        </w:rPr>
        <w:t>Environmental Toxicology &amp; Chemistry</w:t>
      </w:r>
      <w:r w:rsidR="00D57E7C" w:rsidRPr="00D57E7C">
        <w:t xml:space="preserve">, 27, 3, pp. 535-541, Environment Complete, </w:t>
      </w:r>
      <w:proofErr w:type="spellStart"/>
      <w:r w:rsidR="00D57E7C" w:rsidRPr="00D57E7C">
        <w:t>EBSCO</w:t>
      </w:r>
      <w:r w:rsidR="00D57E7C" w:rsidRPr="00D57E7C">
        <w:rPr>
          <w:i/>
          <w:iCs/>
        </w:rPr>
        <w:t>host</w:t>
      </w:r>
      <w:proofErr w:type="spellEnd"/>
      <w:r w:rsidR="00D57E7C" w:rsidRPr="00D57E7C">
        <w:t>, viewed 16 June 2013</w:t>
      </w:r>
      <w:r w:rsidR="00D57E7C">
        <w:t>.</w:t>
      </w:r>
    </w:p>
    <w:p w:rsidR="00994B32" w:rsidRDefault="00994B32" w:rsidP="001F76C1">
      <w:pPr>
        <w:tabs>
          <w:tab w:val="left" w:pos="7740"/>
        </w:tabs>
        <w:spacing w:after="0" w:line="240" w:lineRule="auto"/>
        <w:contextualSpacing/>
      </w:pPr>
    </w:p>
    <w:p w:rsidR="00994B32" w:rsidRDefault="00C407A6" w:rsidP="001F76C1">
      <w:pPr>
        <w:tabs>
          <w:tab w:val="left" w:pos="7740"/>
        </w:tabs>
        <w:spacing w:after="0" w:line="240" w:lineRule="auto"/>
        <w:contextualSpacing/>
      </w:pPr>
      <w:r>
        <w:t xml:space="preserve">3. </w:t>
      </w:r>
      <w:r w:rsidR="007D0846" w:rsidRPr="007D0846">
        <w:t xml:space="preserve">Kumar, S, &amp; </w:t>
      </w:r>
      <w:proofErr w:type="spellStart"/>
      <w:r w:rsidR="007D0846" w:rsidRPr="007D0846">
        <w:t>Swaminathan</w:t>
      </w:r>
      <w:proofErr w:type="spellEnd"/>
      <w:r w:rsidR="007D0846" w:rsidRPr="007D0846">
        <w:t xml:space="preserve">, R 2007, 'Employing the fluorescence anisotropy and quenching kinetics of tryptophan to hunt for residual structures in denatured proteins', </w:t>
      </w:r>
      <w:r w:rsidR="007D0846" w:rsidRPr="007D0846">
        <w:rPr>
          <w:i/>
          <w:iCs/>
        </w:rPr>
        <w:t>Journal Of Chemical Sciences</w:t>
      </w:r>
      <w:r w:rsidR="007D0846" w:rsidRPr="007D0846">
        <w:t xml:space="preserve">, 119, 2, pp. 141-145, Academic Search Complete, </w:t>
      </w:r>
      <w:proofErr w:type="spellStart"/>
      <w:r w:rsidR="007D0846" w:rsidRPr="007D0846">
        <w:t>EBSCO</w:t>
      </w:r>
      <w:r w:rsidR="007D0846" w:rsidRPr="007D0846">
        <w:rPr>
          <w:i/>
          <w:iCs/>
        </w:rPr>
        <w:t>host</w:t>
      </w:r>
      <w:proofErr w:type="spellEnd"/>
      <w:r w:rsidR="007D0846" w:rsidRPr="007D0846">
        <w:t>, viewed 1</w:t>
      </w:r>
      <w:r w:rsidR="00DA23E1">
        <w:t>8</w:t>
      </w:r>
      <w:r w:rsidR="007D0846" w:rsidRPr="007D0846">
        <w:t xml:space="preserve"> June 2013</w:t>
      </w:r>
      <w:bookmarkStart w:id="0" w:name="_GoBack"/>
      <w:bookmarkEnd w:id="0"/>
    </w:p>
    <w:sectPr w:rsidR="00994B32" w:rsidSect="0032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
    <w:altName w:val="MS Mincho"/>
    <w:panose1 w:val="00000000000000000000"/>
    <w:charset w:val="80"/>
    <w:family w:val="auto"/>
    <w:notTrueType/>
    <w:pitch w:val="default"/>
    <w:sig w:usb0="00000001" w:usb1="08070000" w:usb2="00000010" w:usb3="00000000" w:csb0="00020000" w:csb1="00000000"/>
  </w:font>
  <w:font w:name="KNINDP+TimesNewRoman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D86"/>
    <w:multiLevelType w:val="hybridMultilevel"/>
    <w:tmpl w:val="8EA0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D6F30"/>
    <w:multiLevelType w:val="hybridMultilevel"/>
    <w:tmpl w:val="B0DEB09E"/>
    <w:lvl w:ilvl="0" w:tplc="2126FB26">
      <w:start w:val="1"/>
      <w:numFmt w:val="decimal"/>
      <w:lvlText w:val="%1."/>
      <w:lvlJc w:val="left"/>
      <w:pPr>
        <w:ind w:left="720" w:hanging="360"/>
      </w:pPr>
      <w:rPr>
        <w:rFonts w:asciiTheme="minorHAnsi" w:eastAsia="Times New Roman" w:hAnsiTheme="minorHAnsi" w:cs="Calibri"/>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47612"/>
    <w:multiLevelType w:val="hybridMultilevel"/>
    <w:tmpl w:val="6CC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925F1"/>
    <w:multiLevelType w:val="hybridMultilevel"/>
    <w:tmpl w:val="8D58F3AE"/>
    <w:lvl w:ilvl="0" w:tplc="13AAC06C">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77CB1"/>
    <w:multiLevelType w:val="hybridMultilevel"/>
    <w:tmpl w:val="BEE6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1700F"/>
    <w:multiLevelType w:val="hybridMultilevel"/>
    <w:tmpl w:val="96D4C7F4"/>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nsid w:val="3F9732B2"/>
    <w:multiLevelType w:val="hybridMultilevel"/>
    <w:tmpl w:val="4712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1668B"/>
    <w:multiLevelType w:val="hybridMultilevel"/>
    <w:tmpl w:val="D5001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79D0148"/>
    <w:multiLevelType w:val="hybridMultilevel"/>
    <w:tmpl w:val="0F7A0876"/>
    <w:lvl w:ilvl="0" w:tplc="F460A7B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91A2DFA"/>
    <w:multiLevelType w:val="hybridMultilevel"/>
    <w:tmpl w:val="33E2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5"/>
  </w:num>
  <w:num w:numId="6">
    <w:abstractNumId w:val="1"/>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AB"/>
    <w:rsid w:val="000000ED"/>
    <w:rsid w:val="000042B2"/>
    <w:rsid w:val="000051B0"/>
    <w:rsid w:val="00010922"/>
    <w:rsid w:val="0001232C"/>
    <w:rsid w:val="000135CF"/>
    <w:rsid w:val="000144CB"/>
    <w:rsid w:val="00015527"/>
    <w:rsid w:val="00021C86"/>
    <w:rsid w:val="000232B9"/>
    <w:rsid w:val="00024DD6"/>
    <w:rsid w:val="00025302"/>
    <w:rsid w:val="00035383"/>
    <w:rsid w:val="00036FEA"/>
    <w:rsid w:val="000404C8"/>
    <w:rsid w:val="00043B00"/>
    <w:rsid w:val="000509AE"/>
    <w:rsid w:val="0005305D"/>
    <w:rsid w:val="000624E7"/>
    <w:rsid w:val="000634BD"/>
    <w:rsid w:val="00066AD9"/>
    <w:rsid w:val="0007239A"/>
    <w:rsid w:val="00076CC7"/>
    <w:rsid w:val="00081D3E"/>
    <w:rsid w:val="00082D0A"/>
    <w:rsid w:val="00087ED5"/>
    <w:rsid w:val="00094D28"/>
    <w:rsid w:val="000952A4"/>
    <w:rsid w:val="0009626A"/>
    <w:rsid w:val="000968CA"/>
    <w:rsid w:val="00097BC9"/>
    <w:rsid w:val="000A29BF"/>
    <w:rsid w:val="000A2E35"/>
    <w:rsid w:val="000A4C37"/>
    <w:rsid w:val="000B38FB"/>
    <w:rsid w:val="000D0D71"/>
    <w:rsid w:val="000D175F"/>
    <w:rsid w:val="000D4132"/>
    <w:rsid w:val="000E7B22"/>
    <w:rsid w:val="000F044A"/>
    <w:rsid w:val="000F3536"/>
    <w:rsid w:val="000F5D95"/>
    <w:rsid w:val="00100066"/>
    <w:rsid w:val="00101CB8"/>
    <w:rsid w:val="00106979"/>
    <w:rsid w:val="00107C88"/>
    <w:rsid w:val="00112AC8"/>
    <w:rsid w:val="00113DC5"/>
    <w:rsid w:val="00122B95"/>
    <w:rsid w:val="00131620"/>
    <w:rsid w:val="00132A97"/>
    <w:rsid w:val="00135E28"/>
    <w:rsid w:val="0013637E"/>
    <w:rsid w:val="001404EB"/>
    <w:rsid w:val="0014096F"/>
    <w:rsid w:val="00144717"/>
    <w:rsid w:val="001518A1"/>
    <w:rsid w:val="00151FE4"/>
    <w:rsid w:val="001558B3"/>
    <w:rsid w:val="001576DF"/>
    <w:rsid w:val="00161BA9"/>
    <w:rsid w:val="00172F6F"/>
    <w:rsid w:val="0017438E"/>
    <w:rsid w:val="001764B3"/>
    <w:rsid w:val="001809C3"/>
    <w:rsid w:val="00184115"/>
    <w:rsid w:val="001846EC"/>
    <w:rsid w:val="00191DD8"/>
    <w:rsid w:val="00192439"/>
    <w:rsid w:val="00195F42"/>
    <w:rsid w:val="001A56E6"/>
    <w:rsid w:val="001B7F11"/>
    <w:rsid w:val="001C4B76"/>
    <w:rsid w:val="001C726C"/>
    <w:rsid w:val="001C7808"/>
    <w:rsid w:val="001D1FC8"/>
    <w:rsid w:val="001D273B"/>
    <w:rsid w:val="001E0A90"/>
    <w:rsid w:val="001E5460"/>
    <w:rsid w:val="001E5FD7"/>
    <w:rsid w:val="001E71C7"/>
    <w:rsid w:val="001F265F"/>
    <w:rsid w:val="001F4081"/>
    <w:rsid w:val="001F76C1"/>
    <w:rsid w:val="00221074"/>
    <w:rsid w:val="0022227F"/>
    <w:rsid w:val="00223FD0"/>
    <w:rsid w:val="002252C2"/>
    <w:rsid w:val="002261FB"/>
    <w:rsid w:val="00226433"/>
    <w:rsid w:val="00254B9D"/>
    <w:rsid w:val="0025722D"/>
    <w:rsid w:val="00280224"/>
    <w:rsid w:val="0028022C"/>
    <w:rsid w:val="00281252"/>
    <w:rsid w:val="00281C87"/>
    <w:rsid w:val="00282384"/>
    <w:rsid w:val="00293091"/>
    <w:rsid w:val="00293147"/>
    <w:rsid w:val="00296E24"/>
    <w:rsid w:val="002A3700"/>
    <w:rsid w:val="002A613A"/>
    <w:rsid w:val="002B0414"/>
    <w:rsid w:val="002B406C"/>
    <w:rsid w:val="002C4D4F"/>
    <w:rsid w:val="002D4595"/>
    <w:rsid w:val="002D7D0D"/>
    <w:rsid w:val="002E09C0"/>
    <w:rsid w:val="002F0EAB"/>
    <w:rsid w:val="002F209B"/>
    <w:rsid w:val="002F5852"/>
    <w:rsid w:val="003007ED"/>
    <w:rsid w:val="00303A57"/>
    <w:rsid w:val="00306AD3"/>
    <w:rsid w:val="00307976"/>
    <w:rsid w:val="0031121F"/>
    <w:rsid w:val="0031341C"/>
    <w:rsid w:val="00316978"/>
    <w:rsid w:val="00320083"/>
    <w:rsid w:val="00340975"/>
    <w:rsid w:val="00343793"/>
    <w:rsid w:val="00347381"/>
    <w:rsid w:val="003574BD"/>
    <w:rsid w:val="00357A7B"/>
    <w:rsid w:val="00362F16"/>
    <w:rsid w:val="00363AEE"/>
    <w:rsid w:val="00371DAB"/>
    <w:rsid w:val="00373463"/>
    <w:rsid w:val="003775B9"/>
    <w:rsid w:val="00380816"/>
    <w:rsid w:val="003841D1"/>
    <w:rsid w:val="00384EB6"/>
    <w:rsid w:val="00386C78"/>
    <w:rsid w:val="00386EE9"/>
    <w:rsid w:val="00394388"/>
    <w:rsid w:val="003978E3"/>
    <w:rsid w:val="003A014A"/>
    <w:rsid w:val="003A01C5"/>
    <w:rsid w:val="003B4FA0"/>
    <w:rsid w:val="003C19E0"/>
    <w:rsid w:val="003C2C31"/>
    <w:rsid w:val="003C7855"/>
    <w:rsid w:val="003C7C0A"/>
    <w:rsid w:val="003C7FA4"/>
    <w:rsid w:val="003C7FC2"/>
    <w:rsid w:val="003D0E03"/>
    <w:rsid w:val="003D2299"/>
    <w:rsid w:val="003D261E"/>
    <w:rsid w:val="003D39B0"/>
    <w:rsid w:val="003D7C74"/>
    <w:rsid w:val="003F0097"/>
    <w:rsid w:val="0040152A"/>
    <w:rsid w:val="00404EBB"/>
    <w:rsid w:val="00406B2D"/>
    <w:rsid w:val="00407C44"/>
    <w:rsid w:val="00413863"/>
    <w:rsid w:val="00427777"/>
    <w:rsid w:val="00432045"/>
    <w:rsid w:val="00443884"/>
    <w:rsid w:val="004457D6"/>
    <w:rsid w:val="00445B98"/>
    <w:rsid w:val="004524E9"/>
    <w:rsid w:val="004552FC"/>
    <w:rsid w:val="0046468B"/>
    <w:rsid w:val="004659AC"/>
    <w:rsid w:val="00473002"/>
    <w:rsid w:val="00473C0A"/>
    <w:rsid w:val="00475342"/>
    <w:rsid w:val="004775BA"/>
    <w:rsid w:val="00496C21"/>
    <w:rsid w:val="004A3047"/>
    <w:rsid w:val="004A6234"/>
    <w:rsid w:val="004A64AF"/>
    <w:rsid w:val="004B14CC"/>
    <w:rsid w:val="004B50C6"/>
    <w:rsid w:val="004B7541"/>
    <w:rsid w:val="004C1071"/>
    <w:rsid w:val="004C1890"/>
    <w:rsid w:val="004C29A6"/>
    <w:rsid w:val="004C584D"/>
    <w:rsid w:val="004D2BD4"/>
    <w:rsid w:val="004D2D1D"/>
    <w:rsid w:val="004D677C"/>
    <w:rsid w:val="004D78DE"/>
    <w:rsid w:val="004E1839"/>
    <w:rsid w:val="004E1E0A"/>
    <w:rsid w:val="004E5189"/>
    <w:rsid w:val="004F3F14"/>
    <w:rsid w:val="004F5398"/>
    <w:rsid w:val="00501335"/>
    <w:rsid w:val="00507F46"/>
    <w:rsid w:val="00510660"/>
    <w:rsid w:val="00514556"/>
    <w:rsid w:val="005150BD"/>
    <w:rsid w:val="00517230"/>
    <w:rsid w:val="00523FE9"/>
    <w:rsid w:val="0052448C"/>
    <w:rsid w:val="0052451E"/>
    <w:rsid w:val="005319F8"/>
    <w:rsid w:val="00534C93"/>
    <w:rsid w:val="005431F7"/>
    <w:rsid w:val="00546C84"/>
    <w:rsid w:val="005477FB"/>
    <w:rsid w:val="00547879"/>
    <w:rsid w:val="00551080"/>
    <w:rsid w:val="00554C4D"/>
    <w:rsid w:val="00555491"/>
    <w:rsid w:val="00556EDE"/>
    <w:rsid w:val="00567B6A"/>
    <w:rsid w:val="00570452"/>
    <w:rsid w:val="00572BE4"/>
    <w:rsid w:val="005732D2"/>
    <w:rsid w:val="005754C0"/>
    <w:rsid w:val="00580EF2"/>
    <w:rsid w:val="00584A23"/>
    <w:rsid w:val="00593B92"/>
    <w:rsid w:val="005A01E1"/>
    <w:rsid w:val="005A2D9B"/>
    <w:rsid w:val="005A5CBA"/>
    <w:rsid w:val="005B07CF"/>
    <w:rsid w:val="005B0D24"/>
    <w:rsid w:val="005B0D49"/>
    <w:rsid w:val="005B3230"/>
    <w:rsid w:val="005C0BC3"/>
    <w:rsid w:val="005C1549"/>
    <w:rsid w:val="005D3565"/>
    <w:rsid w:val="005D5547"/>
    <w:rsid w:val="005D77BA"/>
    <w:rsid w:val="005E7506"/>
    <w:rsid w:val="005F0B63"/>
    <w:rsid w:val="005F2A9D"/>
    <w:rsid w:val="005F4427"/>
    <w:rsid w:val="005F51BE"/>
    <w:rsid w:val="00607564"/>
    <w:rsid w:val="006076E2"/>
    <w:rsid w:val="006149C0"/>
    <w:rsid w:val="00615666"/>
    <w:rsid w:val="00615FE6"/>
    <w:rsid w:val="00620FE7"/>
    <w:rsid w:val="0062111C"/>
    <w:rsid w:val="006240CA"/>
    <w:rsid w:val="00626AEC"/>
    <w:rsid w:val="0062783D"/>
    <w:rsid w:val="006306C1"/>
    <w:rsid w:val="00641649"/>
    <w:rsid w:val="006425D9"/>
    <w:rsid w:val="00644194"/>
    <w:rsid w:val="00663FBC"/>
    <w:rsid w:val="00674199"/>
    <w:rsid w:val="006771A1"/>
    <w:rsid w:val="00680866"/>
    <w:rsid w:val="00687EEF"/>
    <w:rsid w:val="00694350"/>
    <w:rsid w:val="006A1F46"/>
    <w:rsid w:val="006A39E9"/>
    <w:rsid w:val="006A59AA"/>
    <w:rsid w:val="006A67A1"/>
    <w:rsid w:val="006B0854"/>
    <w:rsid w:val="006B1E59"/>
    <w:rsid w:val="006B5E3B"/>
    <w:rsid w:val="006C1170"/>
    <w:rsid w:val="006D126B"/>
    <w:rsid w:val="006D253E"/>
    <w:rsid w:val="006D317E"/>
    <w:rsid w:val="006D6737"/>
    <w:rsid w:val="006E293D"/>
    <w:rsid w:val="006E41FA"/>
    <w:rsid w:val="006E7017"/>
    <w:rsid w:val="006F3EE6"/>
    <w:rsid w:val="007012C8"/>
    <w:rsid w:val="00702A73"/>
    <w:rsid w:val="00703312"/>
    <w:rsid w:val="007101D3"/>
    <w:rsid w:val="00712B66"/>
    <w:rsid w:val="00712D38"/>
    <w:rsid w:val="00714E42"/>
    <w:rsid w:val="00717E49"/>
    <w:rsid w:val="00730120"/>
    <w:rsid w:val="007433AC"/>
    <w:rsid w:val="00744222"/>
    <w:rsid w:val="00747217"/>
    <w:rsid w:val="00755B9B"/>
    <w:rsid w:val="007605D1"/>
    <w:rsid w:val="007651DF"/>
    <w:rsid w:val="0077326A"/>
    <w:rsid w:val="00773BBF"/>
    <w:rsid w:val="00774A70"/>
    <w:rsid w:val="00775F24"/>
    <w:rsid w:val="00782079"/>
    <w:rsid w:val="007A0AA2"/>
    <w:rsid w:val="007A2E8C"/>
    <w:rsid w:val="007A5393"/>
    <w:rsid w:val="007A547F"/>
    <w:rsid w:val="007A5A63"/>
    <w:rsid w:val="007A72F5"/>
    <w:rsid w:val="007A7D8A"/>
    <w:rsid w:val="007B1A69"/>
    <w:rsid w:val="007B4ADA"/>
    <w:rsid w:val="007C1EA5"/>
    <w:rsid w:val="007C26F9"/>
    <w:rsid w:val="007D0846"/>
    <w:rsid w:val="007D178E"/>
    <w:rsid w:val="007D1983"/>
    <w:rsid w:val="007D23FB"/>
    <w:rsid w:val="007D6B37"/>
    <w:rsid w:val="007E0B7D"/>
    <w:rsid w:val="007E2EA1"/>
    <w:rsid w:val="007E6FCC"/>
    <w:rsid w:val="007F234B"/>
    <w:rsid w:val="007F2AB6"/>
    <w:rsid w:val="008009EC"/>
    <w:rsid w:val="00806161"/>
    <w:rsid w:val="00806631"/>
    <w:rsid w:val="00814128"/>
    <w:rsid w:val="00815E97"/>
    <w:rsid w:val="00826E35"/>
    <w:rsid w:val="008304C8"/>
    <w:rsid w:val="00831034"/>
    <w:rsid w:val="0083497E"/>
    <w:rsid w:val="00842CD2"/>
    <w:rsid w:val="00843AAC"/>
    <w:rsid w:val="00847D4A"/>
    <w:rsid w:val="00870DAB"/>
    <w:rsid w:val="00871DF1"/>
    <w:rsid w:val="0087289E"/>
    <w:rsid w:val="00877D84"/>
    <w:rsid w:val="0088531F"/>
    <w:rsid w:val="00885C1C"/>
    <w:rsid w:val="00894757"/>
    <w:rsid w:val="008A2DD9"/>
    <w:rsid w:val="008B1CAA"/>
    <w:rsid w:val="008B1E3B"/>
    <w:rsid w:val="008B2B89"/>
    <w:rsid w:val="008B2C21"/>
    <w:rsid w:val="008B398D"/>
    <w:rsid w:val="008B6FE9"/>
    <w:rsid w:val="008C432C"/>
    <w:rsid w:val="008C4616"/>
    <w:rsid w:val="008C5FF7"/>
    <w:rsid w:val="008C6937"/>
    <w:rsid w:val="008C7917"/>
    <w:rsid w:val="008D04AF"/>
    <w:rsid w:val="008D774D"/>
    <w:rsid w:val="008E0CAD"/>
    <w:rsid w:val="008F3147"/>
    <w:rsid w:val="008F37E2"/>
    <w:rsid w:val="008F3B00"/>
    <w:rsid w:val="008F662E"/>
    <w:rsid w:val="009007FC"/>
    <w:rsid w:val="00905C4A"/>
    <w:rsid w:val="00906D24"/>
    <w:rsid w:val="009107E1"/>
    <w:rsid w:val="00923348"/>
    <w:rsid w:val="00925C46"/>
    <w:rsid w:val="00927829"/>
    <w:rsid w:val="009320D4"/>
    <w:rsid w:val="009363C1"/>
    <w:rsid w:val="009377AB"/>
    <w:rsid w:val="0094445F"/>
    <w:rsid w:val="009517C3"/>
    <w:rsid w:val="00952EE7"/>
    <w:rsid w:val="009531BA"/>
    <w:rsid w:val="00954540"/>
    <w:rsid w:val="0096082B"/>
    <w:rsid w:val="00966614"/>
    <w:rsid w:val="009666E5"/>
    <w:rsid w:val="00967248"/>
    <w:rsid w:val="00970CFD"/>
    <w:rsid w:val="00972A19"/>
    <w:rsid w:val="00975233"/>
    <w:rsid w:val="00975893"/>
    <w:rsid w:val="0098111F"/>
    <w:rsid w:val="00982CD7"/>
    <w:rsid w:val="00983E6B"/>
    <w:rsid w:val="00994B32"/>
    <w:rsid w:val="0099567A"/>
    <w:rsid w:val="009978B7"/>
    <w:rsid w:val="009A646A"/>
    <w:rsid w:val="009A6B7D"/>
    <w:rsid w:val="009B5A74"/>
    <w:rsid w:val="009B691B"/>
    <w:rsid w:val="009C781D"/>
    <w:rsid w:val="009C7869"/>
    <w:rsid w:val="009D09C2"/>
    <w:rsid w:val="009D52DE"/>
    <w:rsid w:val="009D560A"/>
    <w:rsid w:val="009E0A96"/>
    <w:rsid w:val="009E0CF4"/>
    <w:rsid w:val="009E2584"/>
    <w:rsid w:val="009E38CE"/>
    <w:rsid w:val="009E67D6"/>
    <w:rsid w:val="009F013C"/>
    <w:rsid w:val="009F65C8"/>
    <w:rsid w:val="00A11235"/>
    <w:rsid w:val="00A2025C"/>
    <w:rsid w:val="00A229D6"/>
    <w:rsid w:val="00A27B29"/>
    <w:rsid w:val="00A32354"/>
    <w:rsid w:val="00A33D53"/>
    <w:rsid w:val="00A43A22"/>
    <w:rsid w:val="00A45123"/>
    <w:rsid w:val="00A461AE"/>
    <w:rsid w:val="00A52E53"/>
    <w:rsid w:val="00A558B6"/>
    <w:rsid w:val="00A661A6"/>
    <w:rsid w:val="00A66823"/>
    <w:rsid w:val="00A66C5F"/>
    <w:rsid w:val="00A67598"/>
    <w:rsid w:val="00A731B6"/>
    <w:rsid w:val="00A74183"/>
    <w:rsid w:val="00A82546"/>
    <w:rsid w:val="00A8591C"/>
    <w:rsid w:val="00A911DE"/>
    <w:rsid w:val="00AA2788"/>
    <w:rsid w:val="00AA5E42"/>
    <w:rsid w:val="00AB46B0"/>
    <w:rsid w:val="00AB5DC7"/>
    <w:rsid w:val="00AB7882"/>
    <w:rsid w:val="00AC7C7D"/>
    <w:rsid w:val="00AD00D0"/>
    <w:rsid w:val="00AE08AB"/>
    <w:rsid w:val="00AE4F57"/>
    <w:rsid w:val="00AF4770"/>
    <w:rsid w:val="00B04791"/>
    <w:rsid w:val="00B07727"/>
    <w:rsid w:val="00B10500"/>
    <w:rsid w:val="00B132B1"/>
    <w:rsid w:val="00B13AC6"/>
    <w:rsid w:val="00B15A2A"/>
    <w:rsid w:val="00B15EE5"/>
    <w:rsid w:val="00B177DD"/>
    <w:rsid w:val="00B200A7"/>
    <w:rsid w:val="00B21EDA"/>
    <w:rsid w:val="00B27973"/>
    <w:rsid w:val="00B31548"/>
    <w:rsid w:val="00B333CE"/>
    <w:rsid w:val="00B365BA"/>
    <w:rsid w:val="00B439A8"/>
    <w:rsid w:val="00B43EA9"/>
    <w:rsid w:val="00B44C11"/>
    <w:rsid w:val="00B459A8"/>
    <w:rsid w:val="00B47278"/>
    <w:rsid w:val="00B501FA"/>
    <w:rsid w:val="00B557B2"/>
    <w:rsid w:val="00B60750"/>
    <w:rsid w:val="00B62B82"/>
    <w:rsid w:val="00B64C5E"/>
    <w:rsid w:val="00B66026"/>
    <w:rsid w:val="00B67FAC"/>
    <w:rsid w:val="00B73328"/>
    <w:rsid w:val="00B7584B"/>
    <w:rsid w:val="00B8723E"/>
    <w:rsid w:val="00B876B9"/>
    <w:rsid w:val="00B9274E"/>
    <w:rsid w:val="00B931DE"/>
    <w:rsid w:val="00BA6232"/>
    <w:rsid w:val="00BB063C"/>
    <w:rsid w:val="00BB0893"/>
    <w:rsid w:val="00BC1A45"/>
    <w:rsid w:val="00BD0DA8"/>
    <w:rsid w:val="00BD103A"/>
    <w:rsid w:val="00BD171C"/>
    <w:rsid w:val="00BE484C"/>
    <w:rsid w:val="00BE4ADC"/>
    <w:rsid w:val="00BE524B"/>
    <w:rsid w:val="00BE5517"/>
    <w:rsid w:val="00BF0D39"/>
    <w:rsid w:val="00BF2581"/>
    <w:rsid w:val="00BF484F"/>
    <w:rsid w:val="00BF6E00"/>
    <w:rsid w:val="00BF7C7C"/>
    <w:rsid w:val="00C0383E"/>
    <w:rsid w:val="00C101A5"/>
    <w:rsid w:val="00C21ED5"/>
    <w:rsid w:val="00C23640"/>
    <w:rsid w:val="00C2364F"/>
    <w:rsid w:val="00C24676"/>
    <w:rsid w:val="00C3186A"/>
    <w:rsid w:val="00C32F70"/>
    <w:rsid w:val="00C35C78"/>
    <w:rsid w:val="00C407A6"/>
    <w:rsid w:val="00C40957"/>
    <w:rsid w:val="00C559C9"/>
    <w:rsid w:val="00C55BAF"/>
    <w:rsid w:val="00C60F4F"/>
    <w:rsid w:val="00C638C7"/>
    <w:rsid w:val="00C64913"/>
    <w:rsid w:val="00C649BA"/>
    <w:rsid w:val="00C71781"/>
    <w:rsid w:val="00C7611D"/>
    <w:rsid w:val="00C772CC"/>
    <w:rsid w:val="00C90D99"/>
    <w:rsid w:val="00C941D5"/>
    <w:rsid w:val="00CA1810"/>
    <w:rsid w:val="00CA3519"/>
    <w:rsid w:val="00CB1F01"/>
    <w:rsid w:val="00CB4799"/>
    <w:rsid w:val="00CB732D"/>
    <w:rsid w:val="00CB7D87"/>
    <w:rsid w:val="00CC316C"/>
    <w:rsid w:val="00CD117A"/>
    <w:rsid w:val="00CD3108"/>
    <w:rsid w:val="00CD3AC5"/>
    <w:rsid w:val="00CD40AB"/>
    <w:rsid w:val="00CE05CD"/>
    <w:rsid w:val="00CF3936"/>
    <w:rsid w:val="00D03B3E"/>
    <w:rsid w:val="00D2624D"/>
    <w:rsid w:val="00D30070"/>
    <w:rsid w:val="00D502A8"/>
    <w:rsid w:val="00D52719"/>
    <w:rsid w:val="00D53512"/>
    <w:rsid w:val="00D57E7C"/>
    <w:rsid w:val="00D67468"/>
    <w:rsid w:val="00D71C52"/>
    <w:rsid w:val="00D72B6B"/>
    <w:rsid w:val="00D7339C"/>
    <w:rsid w:val="00D7731F"/>
    <w:rsid w:val="00D8747F"/>
    <w:rsid w:val="00D926F5"/>
    <w:rsid w:val="00D97A1B"/>
    <w:rsid w:val="00DA23E1"/>
    <w:rsid w:val="00DA3620"/>
    <w:rsid w:val="00DA7C22"/>
    <w:rsid w:val="00DB520D"/>
    <w:rsid w:val="00DB6536"/>
    <w:rsid w:val="00DC331F"/>
    <w:rsid w:val="00DC4831"/>
    <w:rsid w:val="00DC5BDF"/>
    <w:rsid w:val="00DD5419"/>
    <w:rsid w:val="00DD79C4"/>
    <w:rsid w:val="00DE0F6E"/>
    <w:rsid w:val="00DF4E79"/>
    <w:rsid w:val="00DF6706"/>
    <w:rsid w:val="00DF7FC3"/>
    <w:rsid w:val="00E0099B"/>
    <w:rsid w:val="00E01B8F"/>
    <w:rsid w:val="00E10B19"/>
    <w:rsid w:val="00E132E7"/>
    <w:rsid w:val="00E16650"/>
    <w:rsid w:val="00E20E08"/>
    <w:rsid w:val="00E26084"/>
    <w:rsid w:val="00E27B69"/>
    <w:rsid w:val="00E312CA"/>
    <w:rsid w:val="00E3631F"/>
    <w:rsid w:val="00E367D3"/>
    <w:rsid w:val="00E375FA"/>
    <w:rsid w:val="00E437BA"/>
    <w:rsid w:val="00E45D89"/>
    <w:rsid w:val="00E62466"/>
    <w:rsid w:val="00E63542"/>
    <w:rsid w:val="00E65B6C"/>
    <w:rsid w:val="00E65D0F"/>
    <w:rsid w:val="00E667BC"/>
    <w:rsid w:val="00E70B24"/>
    <w:rsid w:val="00E75DB7"/>
    <w:rsid w:val="00E76521"/>
    <w:rsid w:val="00E81E99"/>
    <w:rsid w:val="00E84799"/>
    <w:rsid w:val="00E878F4"/>
    <w:rsid w:val="00E93D69"/>
    <w:rsid w:val="00EA1572"/>
    <w:rsid w:val="00EA200D"/>
    <w:rsid w:val="00EA5220"/>
    <w:rsid w:val="00EA7B28"/>
    <w:rsid w:val="00EB16D0"/>
    <w:rsid w:val="00EB7406"/>
    <w:rsid w:val="00EC24E9"/>
    <w:rsid w:val="00EC3C6F"/>
    <w:rsid w:val="00EC445C"/>
    <w:rsid w:val="00ED393B"/>
    <w:rsid w:val="00EE58D9"/>
    <w:rsid w:val="00EF2804"/>
    <w:rsid w:val="00EF2D7B"/>
    <w:rsid w:val="00EF4491"/>
    <w:rsid w:val="00EF4684"/>
    <w:rsid w:val="00F0173D"/>
    <w:rsid w:val="00F036E7"/>
    <w:rsid w:val="00F03E67"/>
    <w:rsid w:val="00F064E4"/>
    <w:rsid w:val="00F066BF"/>
    <w:rsid w:val="00F1516B"/>
    <w:rsid w:val="00F16068"/>
    <w:rsid w:val="00F34CCC"/>
    <w:rsid w:val="00F35D47"/>
    <w:rsid w:val="00F47293"/>
    <w:rsid w:val="00F51EA6"/>
    <w:rsid w:val="00F52D53"/>
    <w:rsid w:val="00F573DB"/>
    <w:rsid w:val="00F61F7A"/>
    <w:rsid w:val="00F654DA"/>
    <w:rsid w:val="00F65F56"/>
    <w:rsid w:val="00F66B0E"/>
    <w:rsid w:val="00F678A3"/>
    <w:rsid w:val="00F71C66"/>
    <w:rsid w:val="00F8421E"/>
    <w:rsid w:val="00F91A3C"/>
    <w:rsid w:val="00F939FC"/>
    <w:rsid w:val="00F97D47"/>
    <w:rsid w:val="00FA01A2"/>
    <w:rsid w:val="00FA1A33"/>
    <w:rsid w:val="00FB5DAA"/>
    <w:rsid w:val="00FD0DF3"/>
    <w:rsid w:val="00FD214C"/>
    <w:rsid w:val="00FE088E"/>
    <w:rsid w:val="00FE156F"/>
    <w:rsid w:val="00FE2C8C"/>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C8"/>
    <w:rPr>
      <w:rFonts w:cs="PalatinoLinotyp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EAB"/>
    <w:pPr>
      <w:spacing w:before="100" w:beforeAutospacing="1" w:after="100" w:afterAutospacing="1" w:line="240" w:lineRule="auto"/>
    </w:pPr>
    <w:rPr>
      <w:rFonts w:eastAsiaTheme="minorEastAsia" w:cs="Times New Roman"/>
      <w:szCs w:val="24"/>
    </w:rPr>
  </w:style>
  <w:style w:type="paragraph" w:customStyle="1" w:styleId="CM9">
    <w:name w:val="CM9"/>
    <w:basedOn w:val="Normal"/>
    <w:next w:val="Normal"/>
    <w:uiPriority w:val="99"/>
    <w:rsid w:val="002F0EAB"/>
    <w:pPr>
      <w:widowControl w:val="0"/>
      <w:autoSpaceDE w:val="0"/>
      <w:autoSpaceDN w:val="0"/>
      <w:adjustRightInd w:val="0"/>
      <w:spacing w:after="0" w:line="240" w:lineRule="auto"/>
    </w:pPr>
    <w:rPr>
      <w:rFonts w:ascii="KNINDP+TimesNewRomanPS" w:eastAsiaTheme="minorEastAsia" w:hAnsi="KNINDP+TimesNewRomanPS" w:cs="Times New Roman"/>
      <w:szCs w:val="24"/>
    </w:rPr>
  </w:style>
  <w:style w:type="paragraph" w:styleId="BalloonText">
    <w:name w:val="Balloon Text"/>
    <w:basedOn w:val="Normal"/>
    <w:link w:val="BalloonTextChar"/>
    <w:uiPriority w:val="99"/>
    <w:semiHidden/>
    <w:unhideWhenUsed/>
    <w:rsid w:val="00C6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8C7"/>
    <w:rPr>
      <w:rFonts w:ascii="Tahoma" w:hAnsi="Tahoma" w:cs="Tahoma"/>
      <w:sz w:val="16"/>
      <w:szCs w:val="16"/>
    </w:rPr>
  </w:style>
  <w:style w:type="character" w:styleId="Hyperlink">
    <w:name w:val="Hyperlink"/>
    <w:basedOn w:val="DefaultParagraphFont"/>
    <w:uiPriority w:val="99"/>
    <w:unhideWhenUsed/>
    <w:rsid w:val="00C638C7"/>
    <w:rPr>
      <w:rFonts w:cs="Times New Roman"/>
      <w:color w:val="0000FF" w:themeColor="hyperlink"/>
      <w:u w:val="single"/>
    </w:rPr>
  </w:style>
  <w:style w:type="paragraph" w:styleId="PlainText">
    <w:name w:val="Plain Text"/>
    <w:basedOn w:val="Normal"/>
    <w:link w:val="PlainTextChar"/>
    <w:uiPriority w:val="99"/>
    <w:semiHidden/>
    <w:unhideWhenUsed/>
    <w:rsid w:val="00E84799"/>
    <w:pPr>
      <w:spacing w:after="0" w:line="240" w:lineRule="auto"/>
    </w:pPr>
    <w:rPr>
      <w:rFonts w:ascii="Arial" w:hAnsi="Arial" w:cs="Times New Roman"/>
      <w:color w:val="000000" w:themeColor="text1"/>
      <w:sz w:val="22"/>
      <w:szCs w:val="21"/>
    </w:rPr>
  </w:style>
  <w:style w:type="character" w:customStyle="1" w:styleId="PlainTextChar">
    <w:name w:val="Plain Text Char"/>
    <w:basedOn w:val="DefaultParagraphFont"/>
    <w:link w:val="PlainText"/>
    <w:uiPriority w:val="99"/>
    <w:semiHidden/>
    <w:locked/>
    <w:rsid w:val="00E84799"/>
    <w:rPr>
      <w:rFonts w:ascii="Arial" w:hAnsi="Arial" w:cs="Times New Roman"/>
      <w:color w:val="000000" w:themeColor="text1"/>
      <w:sz w:val="21"/>
      <w:szCs w:val="21"/>
    </w:rPr>
  </w:style>
  <w:style w:type="paragraph" w:customStyle="1" w:styleId="Default">
    <w:name w:val="Default"/>
    <w:rsid w:val="005D5547"/>
    <w:pPr>
      <w:widowControl w:val="0"/>
      <w:autoSpaceDE w:val="0"/>
      <w:autoSpaceDN w:val="0"/>
      <w:adjustRightInd w:val="0"/>
      <w:spacing w:after="0" w:line="240" w:lineRule="auto"/>
    </w:pPr>
    <w:rPr>
      <w:rFonts w:ascii="KNINDP+TimesNewRomanPS" w:eastAsiaTheme="minorEastAsia" w:hAnsi="KNINDP+TimesNewRomanPS" w:cs="KNINDP+TimesNewRomanPS"/>
      <w:color w:val="000000"/>
    </w:rPr>
  </w:style>
  <w:style w:type="table" w:styleId="TableGrid">
    <w:name w:val="Table Grid"/>
    <w:basedOn w:val="TableNormal"/>
    <w:uiPriority w:val="59"/>
    <w:rsid w:val="0007239A"/>
    <w:pPr>
      <w:spacing w:after="0" w:line="240" w:lineRule="auto"/>
    </w:pPr>
    <w:rPr>
      <w:rFonts w:cs="PalatinoLinotyp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DD9"/>
    <w:pPr>
      <w:ind w:left="720"/>
      <w:contextualSpacing/>
    </w:pPr>
  </w:style>
  <w:style w:type="character" w:styleId="PlaceholderText">
    <w:name w:val="Placeholder Text"/>
    <w:basedOn w:val="DefaultParagraphFont"/>
    <w:uiPriority w:val="99"/>
    <w:semiHidden/>
    <w:rsid w:val="000123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C8"/>
    <w:rPr>
      <w:rFonts w:cs="PalatinoLinotype"/>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EAB"/>
    <w:pPr>
      <w:spacing w:before="100" w:beforeAutospacing="1" w:after="100" w:afterAutospacing="1" w:line="240" w:lineRule="auto"/>
    </w:pPr>
    <w:rPr>
      <w:rFonts w:eastAsiaTheme="minorEastAsia" w:cs="Times New Roman"/>
      <w:szCs w:val="24"/>
    </w:rPr>
  </w:style>
  <w:style w:type="paragraph" w:customStyle="1" w:styleId="CM9">
    <w:name w:val="CM9"/>
    <w:basedOn w:val="Normal"/>
    <w:next w:val="Normal"/>
    <w:uiPriority w:val="99"/>
    <w:rsid w:val="002F0EAB"/>
    <w:pPr>
      <w:widowControl w:val="0"/>
      <w:autoSpaceDE w:val="0"/>
      <w:autoSpaceDN w:val="0"/>
      <w:adjustRightInd w:val="0"/>
      <w:spacing w:after="0" w:line="240" w:lineRule="auto"/>
    </w:pPr>
    <w:rPr>
      <w:rFonts w:ascii="KNINDP+TimesNewRomanPS" w:eastAsiaTheme="minorEastAsia" w:hAnsi="KNINDP+TimesNewRomanPS" w:cs="Times New Roman"/>
      <w:szCs w:val="24"/>
    </w:rPr>
  </w:style>
  <w:style w:type="paragraph" w:styleId="BalloonText">
    <w:name w:val="Balloon Text"/>
    <w:basedOn w:val="Normal"/>
    <w:link w:val="BalloonTextChar"/>
    <w:uiPriority w:val="99"/>
    <w:semiHidden/>
    <w:unhideWhenUsed/>
    <w:rsid w:val="00C6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8C7"/>
    <w:rPr>
      <w:rFonts w:ascii="Tahoma" w:hAnsi="Tahoma" w:cs="Tahoma"/>
      <w:sz w:val="16"/>
      <w:szCs w:val="16"/>
    </w:rPr>
  </w:style>
  <w:style w:type="character" w:styleId="Hyperlink">
    <w:name w:val="Hyperlink"/>
    <w:basedOn w:val="DefaultParagraphFont"/>
    <w:uiPriority w:val="99"/>
    <w:unhideWhenUsed/>
    <w:rsid w:val="00C638C7"/>
    <w:rPr>
      <w:rFonts w:cs="Times New Roman"/>
      <w:color w:val="0000FF" w:themeColor="hyperlink"/>
      <w:u w:val="single"/>
    </w:rPr>
  </w:style>
  <w:style w:type="paragraph" w:styleId="PlainText">
    <w:name w:val="Plain Text"/>
    <w:basedOn w:val="Normal"/>
    <w:link w:val="PlainTextChar"/>
    <w:uiPriority w:val="99"/>
    <w:semiHidden/>
    <w:unhideWhenUsed/>
    <w:rsid w:val="00E84799"/>
    <w:pPr>
      <w:spacing w:after="0" w:line="240" w:lineRule="auto"/>
    </w:pPr>
    <w:rPr>
      <w:rFonts w:ascii="Arial" w:hAnsi="Arial" w:cs="Times New Roman"/>
      <w:color w:val="000000" w:themeColor="text1"/>
      <w:sz w:val="22"/>
      <w:szCs w:val="21"/>
    </w:rPr>
  </w:style>
  <w:style w:type="character" w:customStyle="1" w:styleId="PlainTextChar">
    <w:name w:val="Plain Text Char"/>
    <w:basedOn w:val="DefaultParagraphFont"/>
    <w:link w:val="PlainText"/>
    <w:uiPriority w:val="99"/>
    <w:semiHidden/>
    <w:locked/>
    <w:rsid w:val="00E84799"/>
    <w:rPr>
      <w:rFonts w:ascii="Arial" w:hAnsi="Arial" w:cs="Times New Roman"/>
      <w:color w:val="000000" w:themeColor="text1"/>
      <w:sz w:val="21"/>
      <w:szCs w:val="21"/>
    </w:rPr>
  </w:style>
  <w:style w:type="paragraph" w:customStyle="1" w:styleId="Default">
    <w:name w:val="Default"/>
    <w:rsid w:val="005D5547"/>
    <w:pPr>
      <w:widowControl w:val="0"/>
      <w:autoSpaceDE w:val="0"/>
      <w:autoSpaceDN w:val="0"/>
      <w:adjustRightInd w:val="0"/>
      <w:spacing w:after="0" w:line="240" w:lineRule="auto"/>
    </w:pPr>
    <w:rPr>
      <w:rFonts w:ascii="KNINDP+TimesNewRomanPS" w:eastAsiaTheme="minorEastAsia" w:hAnsi="KNINDP+TimesNewRomanPS" w:cs="KNINDP+TimesNewRomanPS"/>
      <w:color w:val="000000"/>
    </w:rPr>
  </w:style>
  <w:style w:type="table" w:styleId="TableGrid">
    <w:name w:val="Table Grid"/>
    <w:basedOn w:val="TableNormal"/>
    <w:uiPriority w:val="59"/>
    <w:rsid w:val="0007239A"/>
    <w:pPr>
      <w:spacing w:after="0" w:line="240" w:lineRule="auto"/>
    </w:pPr>
    <w:rPr>
      <w:rFonts w:cs="PalatinoLinotyp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2DD9"/>
    <w:pPr>
      <w:ind w:left="720"/>
      <w:contextualSpacing/>
    </w:pPr>
  </w:style>
  <w:style w:type="character" w:styleId="PlaceholderText">
    <w:name w:val="Placeholder Text"/>
    <w:basedOn w:val="DefaultParagraphFont"/>
    <w:uiPriority w:val="99"/>
    <w:semiHidden/>
    <w:rsid w:val="000123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974">
      <w:marLeft w:val="0"/>
      <w:marRight w:val="0"/>
      <w:marTop w:val="0"/>
      <w:marBottom w:val="0"/>
      <w:divBdr>
        <w:top w:val="none" w:sz="0" w:space="0" w:color="auto"/>
        <w:left w:val="none" w:sz="0" w:space="0" w:color="auto"/>
        <w:bottom w:val="none" w:sz="0" w:space="0" w:color="auto"/>
        <w:right w:val="none" w:sz="0" w:space="0" w:color="auto"/>
      </w:divBdr>
    </w:div>
    <w:div w:id="38671975">
      <w:marLeft w:val="0"/>
      <w:marRight w:val="0"/>
      <w:marTop w:val="0"/>
      <w:marBottom w:val="0"/>
      <w:divBdr>
        <w:top w:val="none" w:sz="0" w:space="0" w:color="auto"/>
        <w:left w:val="none" w:sz="0" w:space="0" w:color="auto"/>
        <w:bottom w:val="none" w:sz="0" w:space="0" w:color="auto"/>
        <w:right w:val="none" w:sz="0" w:space="0" w:color="auto"/>
      </w:divBdr>
    </w:div>
    <w:div w:id="38671977">
      <w:marLeft w:val="0"/>
      <w:marRight w:val="0"/>
      <w:marTop w:val="0"/>
      <w:marBottom w:val="0"/>
      <w:divBdr>
        <w:top w:val="none" w:sz="0" w:space="0" w:color="auto"/>
        <w:left w:val="none" w:sz="0" w:space="0" w:color="auto"/>
        <w:bottom w:val="none" w:sz="0" w:space="0" w:color="auto"/>
        <w:right w:val="none" w:sz="0" w:space="0" w:color="auto"/>
      </w:divBdr>
    </w:div>
    <w:div w:id="38671978">
      <w:marLeft w:val="0"/>
      <w:marRight w:val="0"/>
      <w:marTop w:val="0"/>
      <w:marBottom w:val="0"/>
      <w:divBdr>
        <w:top w:val="none" w:sz="0" w:space="0" w:color="auto"/>
        <w:left w:val="none" w:sz="0" w:space="0" w:color="auto"/>
        <w:bottom w:val="none" w:sz="0" w:space="0" w:color="auto"/>
        <w:right w:val="none" w:sz="0" w:space="0" w:color="auto"/>
      </w:divBdr>
    </w:div>
    <w:div w:id="38671979">
      <w:marLeft w:val="0"/>
      <w:marRight w:val="0"/>
      <w:marTop w:val="0"/>
      <w:marBottom w:val="0"/>
      <w:divBdr>
        <w:top w:val="none" w:sz="0" w:space="0" w:color="auto"/>
        <w:left w:val="none" w:sz="0" w:space="0" w:color="auto"/>
        <w:bottom w:val="none" w:sz="0" w:space="0" w:color="auto"/>
        <w:right w:val="none" w:sz="0" w:space="0" w:color="auto"/>
      </w:divBdr>
    </w:div>
    <w:div w:id="38671980">
      <w:marLeft w:val="0"/>
      <w:marRight w:val="0"/>
      <w:marTop w:val="0"/>
      <w:marBottom w:val="0"/>
      <w:divBdr>
        <w:top w:val="none" w:sz="0" w:space="0" w:color="auto"/>
        <w:left w:val="none" w:sz="0" w:space="0" w:color="auto"/>
        <w:bottom w:val="none" w:sz="0" w:space="0" w:color="auto"/>
        <w:right w:val="none" w:sz="0" w:space="0" w:color="auto"/>
      </w:divBdr>
    </w:div>
    <w:div w:id="38671987">
      <w:marLeft w:val="0"/>
      <w:marRight w:val="0"/>
      <w:marTop w:val="0"/>
      <w:marBottom w:val="0"/>
      <w:divBdr>
        <w:top w:val="none" w:sz="0" w:space="0" w:color="auto"/>
        <w:left w:val="none" w:sz="0" w:space="0" w:color="auto"/>
        <w:bottom w:val="none" w:sz="0" w:space="0" w:color="auto"/>
        <w:right w:val="none" w:sz="0" w:space="0" w:color="auto"/>
      </w:divBdr>
    </w:div>
    <w:div w:id="38671991">
      <w:marLeft w:val="0"/>
      <w:marRight w:val="0"/>
      <w:marTop w:val="0"/>
      <w:marBottom w:val="0"/>
      <w:divBdr>
        <w:top w:val="none" w:sz="0" w:space="0" w:color="auto"/>
        <w:left w:val="none" w:sz="0" w:space="0" w:color="auto"/>
        <w:bottom w:val="none" w:sz="0" w:space="0" w:color="auto"/>
        <w:right w:val="none" w:sz="0" w:space="0" w:color="auto"/>
      </w:divBdr>
    </w:div>
    <w:div w:id="38671996">
      <w:marLeft w:val="0"/>
      <w:marRight w:val="0"/>
      <w:marTop w:val="0"/>
      <w:marBottom w:val="0"/>
      <w:divBdr>
        <w:top w:val="none" w:sz="0" w:space="0" w:color="auto"/>
        <w:left w:val="none" w:sz="0" w:space="0" w:color="auto"/>
        <w:bottom w:val="none" w:sz="0" w:space="0" w:color="auto"/>
        <w:right w:val="none" w:sz="0" w:space="0" w:color="auto"/>
      </w:divBdr>
    </w:div>
    <w:div w:id="38671998">
      <w:marLeft w:val="0"/>
      <w:marRight w:val="0"/>
      <w:marTop w:val="0"/>
      <w:marBottom w:val="0"/>
      <w:divBdr>
        <w:top w:val="none" w:sz="0" w:space="0" w:color="auto"/>
        <w:left w:val="none" w:sz="0" w:space="0" w:color="auto"/>
        <w:bottom w:val="none" w:sz="0" w:space="0" w:color="auto"/>
        <w:right w:val="none" w:sz="0" w:space="0" w:color="auto"/>
      </w:divBdr>
      <w:divsChild>
        <w:div w:id="38672005">
          <w:marLeft w:val="0"/>
          <w:marRight w:val="0"/>
          <w:marTop w:val="0"/>
          <w:marBottom w:val="0"/>
          <w:divBdr>
            <w:top w:val="none" w:sz="0" w:space="0" w:color="auto"/>
            <w:left w:val="none" w:sz="0" w:space="0" w:color="auto"/>
            <w:bottom w:val="none" w:sz="0" w:space="0" w:color="auto"/>
            <w:right w:val="none" w:sz="0" w:space="0" w:color="auto"/>
          </w:divBdr>
          <w:divsChild>
            <w:div w:id="38671984">
              <w:marLeft w:val="0"/>
              <w:marRight w:val="0"/>
              <w:marTop w:val="0"/>
              <w:marBottom w:val="0"/>
              <w:divBdr>
                <w:top w:val="none" w:sz="0" w:space="0" w:color="auto"/>
                <w:left w:val="none" w:sz="0" w:space="0" w:color="auto"/>
                <w:bottom w:val="none" w:sz="0" w:space="0" w:color="auto"/>
                <w:right w:val="none" w:sz="0" w:space="0" w:color="auto"/>
              </w:divBdr>
              <w:divsChild>
                <w:div w:id="38671990">
                  <w:marLeft w:val="0"/>
                  <w:marRight w:val="0"/>
                  <w:marTop w:val="0"/>
                  <w:marBottom w:val="0"/>
                  <w:divBdr>
                    <w:top w:val="none" w:sz="0" w:space="0" w:color="auto"/>
                    <w:left w:val="none" w:sz="0" w:space="0" w:color="auto"/>
                    <w:bottom w:val="none" w:sz="0" w:space="0" w:color="auto"/>
                    <w:right w:val="none" w:sz="0" w:space="0" w:color="auto"/>
                  </w:divBdr>
                  <w:divsChild>
                    <w:div w:id="38672006">
                      <w:marLeft w:val="120"/>
                      <w:marRight w:val="0"/>
                      <w:marTop w:val="0"/>
                      <w:marBottom w:val="0"/>
                      <w:divBdr>
                        <w:top w:val="none" w:sz="0" w:space="0" w:color="auto"/>
                        <w:left w:val="none" w:sz="0" w:space="0" w:color="auto"/>
                        <w:bottom w:val="none" w:sz="0" w:space="0" w:color="auto"/>
                        <w:right w:val="none" w:sz="0" w:space="0" w:color="auto"/>
                      </w:divBdr>
                      <w:divsChild>
                        <w:div w:id="38672010">
                          <w:marLeft w:val="0"/>
                          <w:marRight w:val="0"/>
                          <w:marTop w:val="0"/>
                          <w:marBottom w:val="0"/>
                          <w:divBdr>
                            <w:top w:val="none" w:sz="0" w:space="0" w:color="auto"/>
                            <w:left w:val="none" w:sz="0" w:space="0" w:color="auto"/>
                            <w:bottom w:val="none" w:sz="0" w:space="0" w:color="auto"/>
                            <w:right w:val="none" w:sz="0" w:space="0" w:color="auto"/>
                          </w:divBdr>
                          <w:divsChild>
                            <w:div w:id="38671983">
                              <w:marLeft w:val="0"/>
                              <w:marRight w:val="0"/>
                              <w:marTop w:val="0"/>
                              <w:marBottom w:val="0"/>
                              <w:divBdr>
                                <w:top w:val="none" w:sz="0" w:space="0" w:color="auto"/>
                                <w:left w:val="none" w:sz="0" w:space="0" w:color="auto"/>
                                <w:bottom w:val="none" w:sz="0" w:space="0" w:color="auto"/>
                                <w:right w:val="none" w:sz="0" w:space="0" w:color="auto"/>
                              </w:divBdr>
                              <w:divsChild>
                                <w:div w:id="38671986">
                                  <w:marLeft w:val="-225"/>
                                  <w:marRight w:val="-195"/>
                                  <w:marTop w:val="0"/>
                                  <w:marBottom w:val="75"/>
                                  <w:divBdr>
                                    <w:top w:val="none" w:sz="0" w:space="0" w:color="auto"/>
                                    <w:left w:val="none" w:sz="0" w:space="0" w:color="auto"/>
                                    <w:bottom w:val="none" w:sz="0" w:space="0" w:color="auto"/>
                                    <w:right w:val="none" w:sz="0" w:space="0" w:color="auto"/>
                                  </w:divBdr>
                                  <w:divsChild>
                                    <w:div w:id="38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1999">
      <w:marLeft w:val="0"/>
      <w:marRight w:val="0"/>
      <w:marTop w:val="0"/>
      <w:marBottom w:val="0"/>
      <w:divBdr>
        <w:top w:val="none" w:sz="0" w:space="0" w:color="auto"/>
        <w:left w:val="none" w:sz="0" w:space="0" w:color="auto"/>
        <w:bottom w:val="none" w:sz="0" w:space="0" w:color="auto"/>
        <w:right w:val="none" w:sz="0" w:space="0" w:color="auto"/>
      </w:divBdr>
    </w:div>
    <w:div w:id="38672000">
      <w:marLeft w:val="0"/>
      <w:marRight w:val="0"/>
      <w:marTop w:val="0"/>
      <w:marBottom w:val="0"/>
      <w:divBdr>
        <w:top w:val="none" w:sz="0" w:space="0" w:color="auto"/>
        <w:left w:val="none" w:sz="0" w:space="0" w:color="auto"/>
        <w:bottom w:val="none" w:sz="0" w:space="0" w:color="auto"/>
        <w:right w:val="none" w:sz="0" w:space="0" w:color="auto"/>
      </w:divBdr>
      <w:divsChild>
        <w:div w:id="38672007">
          <w:marLeft w:val="0"/>
          <w:marRight w:val="0"/>
          <w:marTop w:val="0"/>
          <w:marBottom w:val="0"/>
          <w:divBdr>
            <w:top w:val="none" w:sz="0" w:space="0" w:color="auto"/>
            <w:left w:val="none" w:sz="0" w:space="0" w:color="auto"/>
            <w:bottom w:val="none" w:sz="0" w:space="0" w:color="auto"/>
            <w:right w:val="none" w:sz="0" w:space="0" w:color="auto"/>
          </w:divBdr>
          <w:divsChild>
            <w:div w:id="38672009">
              <w:marLeft w:val="0"/>
              <w:marRight w:val="0"/>
              <w:marTop w:val="0"/>
              <w:marBottom w:val="0"/>
              <w:divBdr>
                <w:top w:val="none" w:sz="0" w:space="0" w:color="auto"/>
                <w:left w:val="none" w:sz="0" w:space="0" w:color="auto"/>
                <w:bottom w:val="none" w:sz="0" w:space="0" w:color="auto"/>
                <w:right w:val="none" w:sz="0" w:space="0" w:color="auto"/>
              </w:divBdr>
              <w:divsChild>
                <w:div w:id="38671997">
                  <w:marLeft w:val="0"/>
                  <w:marRight w:val="0"/>
                  <w:marTop w:val="0"/>
                  <w:marBottom w:val="0"/>
                  <w:divBdr>
                    <w:top w:val="none" w:sz="0" w:space="0" w:color="auto"/>
                    <w:left w:val="none" w:sz="0" w:space="0" w:color="auto"/>
                    <w:bottom w:val="none" w:sz="0" w:space="0" w:color="auto"/>
                    <w:right w:val="none" w:sz="0" w:space="0" w:color="auto"/>
                  </w:divBdr>
                  <w:divsChild>
                    <w:div w:id="38671985">
                      <w:marLeft w:val="120"/>
                      <w:marRight w:val="0"/>
                      <w:marTop w:val="0"/>
                      <w:marBottom w:val="0"/>
                      <w:divBdr>
                        <w:top w:val="none" w:sz="0" w:space="0" w:color="auto"/>
                        <w:left w:val="none" w:sz="0" w:space="0" w:color="auto"/>
                        <w:bottom w:val="none" w:sz="0" w:space="0" w:color="auto"/>
                        <w:right w:val="none" w:sz="0" w:space="0" w:color="auto"/>
                      </w:divBdr>
                      <w:divsChild>
                        <w:div w:id="38671981">
                          <w:marLeft w:val="0"/>
                          <w:marRight w:val="0"/>
                          <w:marTop w:val="0"/>
                          <w:marBottom w:val="0"/>
                          <w:divBdr>
                            <w:top w:val="none" w:sz="0" w:space="0" w:color="auto"/>
                            <w:left w:val="none" w:sz="0" w:space="0" w:color="auto"/>
                            <w:bottom w:val="none" w:sz="0" w:space="0" w:color="auto"/>
                            <w:right w:val="none" w:sz="0" w:space="0" w:color="auto"/>
                          </w:divBdr>
                          <w:divsChild>
                            <w:div w:id="38671994">
                              <w:marLeft w:val="0"/>
                              <w:marRight w:val="0"/>
                              <w:marTop w:val="0"/>
                              <w:marBottom w:val="0"/>
                              <w:divBdr>
                                <w:top w:val="none" w:sz="0" w:space="0" w:color="auto"/>
                                <w:left w:val="none" w:sz="0" w:space="0" w:color="auto"/>
                                <w:bottom w:val="none" w:sz="0" w:space="0" w:color="auto"/>
                                <w:right w:val="none" w:sz="0" w:space="0" w:color="auto"/>
                              </w:divBdr>
                              <w:divsChild>
                                <w:div w:id="38672003">
                                  <w:marLeft w:val="-225"/>
                                  <w:marRight w:val="-195"/>
                                  <w:marTop w:val="0"/>
                                  <w:marBottom w:val="75"/>
                                  <w:divBdr>
                                    <w:top w:val="none" w:sz="0" w:space="0" w:color="auto"/>
                                    <w:left w:val="none" w:sz="0" w:space="0" w:color="auto"/>
                                    <w:bottom w:val="none" w:sz="0" w:space="0" w:color="auto"/>
                                    <w:right w:val="none" w:sz="0" w:space="0" w:color="auto"/>
                                  </w:divBdr>
                                  <w:divsChild>
                                    <w:div w:id="3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2001">
      <w:marLeft w:val="0"/>
      <w:marRight w:val="0"/>
      <w:marTop w:val="0"/>
      <w:marBottom w:val="0"/>
      <w:divBdr>
        <w:top w:val="none" w:sz="0" w:space="0" w:color="auto"/>
        <w:left w:val="none" w:sz="0" w:space="0" w:color="auto"/>
        <w:bottom w:val="none" w:sz="0" w:space="0" w:color="auto"/>
        <w:right w:val="none" w:sz="0" w:space="0" w:color="auto"/>
      </w:divBdr>
      <w:divsChild>
        <w:div w:id="38672008">
          <w:marLeft w:val="0"/>
          <w:marRight w:val="0"/>
          <w:marTop w:val="0"/>
          <w:marBottom w:val="0"/>
          <w:divBdr>
            <w:top w:val="none" w:sz="0" w:space="0" w:color="auto"/>
            <w:left w:val="none" w:sz="0" w:space="0" w:color="auto"/>
            <w:bottom w:val="none" w:sz="0" w:space="0" w:color="auto"/>
            <w:right w:val="none" w:sz="0" w:space="0" w:color="auto"/>
          </w:divBdr>
          <w:divsChild>
            <w:div w:id="38671993">
              <w:marLeft w:val="0"/>
              <w:marRight w:val="0"/>
              <w:marTop w:val="0"/>
              <w:marBottom w:val="0"/>
              <w:divBdr>
                <w:top w:val="none" w:sz="0" w:space="0" w:color="auto"/>
                <w:left w:val="none" w:sz="0" w:space="0" w:color="auto"/>
                <w:bottom w:val="none" w:sz="0" w:space="0" w:color="auto"/>
                <w:right w:val="none" w:sz="0" w:space="0" w:color="auto"/>
              </w:divBdr>
              <w:divsChild>
                <w:div w:id="38672002">
                  <w:marLeft w:val="0"/>
                  <w:marRight w:val="0"/>
                  <w:marTop w:val="0"/>
                  <w:marBottom w:val="0"/>
                  <w:divBdr>
                    <w:top w:val="none" w:sz="0" w:space="0" w:color="auto"/>
                    <w:left w:val="none" w:sz="0" w:space="0" w:color="auto"/>
                    <w:bottom w:val="none" w:sz="0" w:space="0" w:color="auto"/>
                    <w:right w:val="none" w:sz="0" w:space="0" w:color="auto"/>
                  </w:divBdr>
                  <w:divsChild>
                    <w:div w:id="38672004">
                      <w:marLeft w:val="120"/>
                      <w:marRight w:val="0"/>
                      <w:marTop w:val="0"/>
                      <w:marBottom w:val="0"/>
                      <w:divBdr>
                        <w:top w:val="none" w:sz="0" w:space="0" w:color="auto"/>
                        <w:left w:val="none" w:sz="0" w:space="0" w:color="auto"/>
                        <w:bottom w:val="none" w:sz="0" w:space="0" w:color="auto"/>
                        <w:right w:val="none" w:sz="0" w:space="0" w:color="auto"/>
                      </w:divBdr>
                      <w:divsChild>
                        <w:div w:id="38671992">
                          <w:marLeft w:val="0"/>
                          <w:marRight w:val="0"/>
                          <w:marTop w:val="0"/>
                          <w:marBottom w:val="0"/>
                          <w:divBdr>
                            <w:top w:val="none" w:sz="0" w:space="0" w:color="auto"/>
                            <w:left w:val="none" w:sz="0" w:space="0" w:color="auto"/>
                            <w:bottom w:val="none" w:sz="0" w:space="0" w:color="auto"/>
                            <w:right w:val="none" w:sz="0" w:space="0" w:color="auto"/>
                          </w:divBdr>
                          <w:divsChild>
                            <w:div w:id="38671995">
                              <w:marLeft w:val="0"/>
                              <w:marRight w:val="0"/>
                              <w:marTop w:val="0"/>
                              <w:marBottom w:val="0"/>
                              <w:divBdr>
                                <w:top w:val="none" w:sz="0" w:space="0" w:color="auto"/>
                                <w:left w:val="none" w:sz="0" w:space="0" w:color="auto"/>
                                <w:bottom w:val="none" w:sz="0" w:space="0" w:color="auto"/>
                                <w:right w:val="none" w:sz="0" w:space="0" w:color="auto"/>
                              </w:divBdr>
                              <w:divsChild>
                                <w:div w:id="38671982">
                                  <w:marLeft w:val="-225"/>
                                  <w:marRight w:val="-195"/>
                                  <w:marTop w:val="0"/>
                                  <w:marBottom w:val="75"/>
                                  <w:divBdr>
                                    <w:top w:val="none" w:sz="0" w:space="0" w:color="auto"/>
                                    <w:left w:val="none" w:sz="0" w:space="0" w:color="auto"/>
                                    <w:bottom w:val="none" w:sz="0" w:space="0" w:color="auto"/>
                                    <w:right w:val="none" w:sz="0" w:space="0" w:color="auto"/>
                                  </w:divBdr>
                                  <w:divsChild>
                                    <w:div w:id="386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2011">
      <w:marLeft w:val="0"/>
      <w:marRight w:val="0"/>
      <w:marTop w:val="0"/>
      <w:marBottom w:val="0"/>
      <w:divBdr>
        <w:top w:val="none" w:sz="0" w:space="0" w:color="auto"/>
        <w:left w:val="none" w:sz="0" w:space="0" w:color="auto"/>
        <w:bottom w:val="none" w:sz="0" w:space="0" w:color="auto"/>
        <w:right w:val="none" w:sz="0" w:space="0" w:color="auto"/>
      </w:divBdr>
    </w:div>
    <w:div w:id="38672012">
      <w:marLeft w:val="0"/>
      <w:marRight w:val="0"/>
      <w:marTop w:val="0"/>
      <w:marBottom w:val="0"/>
      <w:divBdr>
        <w:top w:val="none" w:sz="0" w:space="0" w:color="auto"/>
        <w:left w:val="none" w:sz="0" w:space="0" w:color="auto"/>
        <w:bottom w:val="none" w:sz="0" w:space="0" w:color="auto"/>
        <w:right w:val="none" w:sz="0" w:space="0" w:color="auto"/>
      </w:divBdr>
    </w:div>
    <w:div w:id="868565230">
      <w:bodyDiv w:val="1"/>
      <w:marLeft w:val="0"/>
      <w:marRight w:val="0"/>
      <w:marTop w:val="0"/>
      <w:marBottom w:val="0"/>
      <w:divBdr>
        <w:top w:val="none" w:sz="0" w:space="0" w:color="auto"/>
        <w:left w:val="none" w:sz="0" w:space="0" w:color="auto"/>
        <w:bottom w:val="none" w:sz="0" w:space="0" w:color="auto"/>
        <w:right w:val="none" w:sz="0" w:space="0" w:color="auto"/>
      </w:divBdr>
    </w:div>
    <w:div w:id="1122461275">
      <w:bodyDiv w:val="1"/>
      <w:marLeft w:val="0"/>
      <w:marRight w:val="0"/>
      <w:marTop w:val="0"/>
      <w:marBottom w:val="0"/>
      <w:divBdr>
        <w:top w:val="none" w:sz="0" w:space="0" w:color="auto"/>
        <w:left w:val="none" w:sz="0" w:space="0" w:color="auto"/>
        <w:bottom w:val="none" w:sz="0" w:space="0" w:color="auto"/>
        <w:right w:val="none" w:sz="0" w:space="0" w:color="auto"/>
      </w:divBdr>
    </w:div>
    <w:div w:id="1465351937">
      <w:bodyDiv w:val="1"/>
      <w:marLeft w:val="0"/>
      <w:marRight w:val="0"/>
      <w:marTop w:val="0"/>
      <w:marBottom w:val="0"/>
      <w:divBdr>
        <w:top w:val="none" w:sz="0" w:space="0" w:color="auto"/>
        <w:left w:val="none" w:sz="0" w:space="0" w:color="auto"/>
        <w:bottom w:val="none" w:sz="0" w:space="0" w:color="auto"/>
        <w:right w:val="none" w:sz="0" w:space="0" w:color="auto"/>
      </w:divBdr>
      <w:divsChild>
        <w:div w:id="921913545">
          <w:marLeft w:val="0"/>
          <w:marRight w:val="0"/>
          <w:marTop w:val="0"/>
          <w:marBottom w:val="0"/>
          <w:divBdr>
            <w:top w:val="none" w:sz="0" w:space="0" w:color="auto"/>
            <w:left w:val="none" w:sz="0" w:space="0" w:color="auto"/>
            <w:bottom w:val="none" w:sz="0" w:space="0" w:color="auto"/>
            <w:right w:val="none" w:sz="0" w:space="0" w:color="auto"/>
          </w:divBdr>
          <w:divsChild>
            <w:div w:id="572277736">
              <w:marLeft w:val="0"/>
              <w:marRight w:val="0"/>
              <w:marTop w:val="0"/>
              <w:marBottom w:val="0"/>
              <w:divBdr>
                <w:top w:val="none" w:sz="0" w:space="0" w:color="auto"/>
                <w:left w:val="none" w:sz="0" w:space="0" w:color="auto"/>
                <w:bottom w:val="none" w:sz="0" w:space="0" w:color="auto"/>
                <w:right w:val="none" w:sz="0" w:space="0" w:color="auto"/>
              </w:divBdr>
              <w:divsChild>
                <w:div w:id="869730045">
                  <w:marLeft w:val="0"/>
                  <w:marRight w:val="0"/>
                  <w:marTop w:val="0"/>
                  <w:marBottom w:val="0"/>
                  <w:divBdr>
                    <w:top w:val="none" w:sz="0" w:space="0" w:color="auto"/>
                    <w:left w:val="none" w:sz="0" w:space="0" w:color="auto"/>
                    <w:bottom w:val="none" w:sz="0" w:space="0" w:color="auto"/>
                    <w:right w:val="none" w:sz="0" w:space="0" w:color="auto"/>
                  </w:divBdr>
                  <w:divsChild>
                    <w:div w:id="1523667391">
                      <w:marLeft w:val="120"/>
                      <w:marRight w:val="0"/>
                      <w:marTop w:val="0"/>
                      <w:marBottom w:val="0"/>
                      <w:divBdr>
                        <w:top w:val="none" w:sz="0" w:space="0" w:color="auto"/>
                        <w:left w:val="none" w:sz="0" w:space="0" w:color="auto"/>
                        <w:bottom w:val="none" w:sz="0" w:space="0" w:color="auto"/>
                        <w:right w:val="none" w:sz="0" w:space="0" w:color="auto"/>
                      </w:divBdr>
                      <w:divsChild>
                        <w:div w:id="1314724524">
                          <w:marLeft w:val="0"/>
                          <w:marRight w:val="0"/>
                          <w:marTop w:val="0"/>
                          <w:marBottom w:val="0"/>
                          <w:divBdr>
                            <w:top w:val="none" w:sz="0" w:space="0" w:color="auto"/>
                            <w:left w:val="none" w:sz="0" w:space="0" w:color="auto"/>
                            <w:bottom w:val="none" w:sz="0" w:space="0" w:color="auto"/>
                            <w:right w:val="none" w:sz="0" w:space="0" w:color="auto"/>
                          </w:divBdr>
                          <w:divsChild>
                            <w:div w:id="1289050023">
                              <w:marLeft w:val="0"/>
                              <w:marRight w:val="0"/>
                              <w:marTop w:val="0"/>
                              <w:marBottom w:val="0"/>
                              <w:divBdr>
                                <w:top w:val="none" w:sz="0" w:space="0" w:color="auto"/>
                                <w:left w:val="none" w:sz="0" w:space="0" w:color="auto"/>
                                <w:bottom w:val="none" w:sz="0" w:space="0" w:color="auto"/>
                                <w:right w:val="none" w:sz="0" w:space="0" w:color="auto"/>
                              </w:divBdr>
                              <w:divsChild>
                                <w:div w:id="145825879">
                                  <w:marLeft w:val="-225"/>
                                  <w:marRight w:val="-195"/>
                                  <w:marTop w:val="0"/>
                                  <w:marBottom w:val="75"/>
                                  <w:divBdr>
                                    <w:top w:val="none" w:sz="0" w:space="0" w:color="auto"/>
                                    <w:left w:val="none" w:sz="0" w:space="0" w:color="auto"/>
                                    <w:bottom w:val="none" w:sz="0" w:space="0" w:color="auto"/>
                                    <w:right w:val="none" w:sz="0" w:space="0" w:color="auto"/>
                                  </w:divBdr>
                                  <w:divsChild>
                                    <w:div w:id="20859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9151">
      <w:bodyDiv w:val="1"/>
      <w:marLeft w:val="0"/>
      <w:marRight w:val="0"/>
      <w:marTop w:val="0"/>
      <w:marBottom w:val="0"/>
      <w:divBdr>
        <w:top w:val="none" w:sz="0" w:space="0" w:color="auto"/>
        <w:left w:val="none" w:sz="0" w:space="0" w:color="auto"/>
        <w:bottom w:val="none" w:sz="0" w:space="0" w:color="auto"/>
        <w:right w:val="none" w:sz="0" w:space="0" w:color="auto"/>
      </w:divBdr>
      <w:divsChild>
        <w:div w:id="1710372163">
          <w:marLeft w:val="0"/>
          <w:marRight w:val="0"/>
          <w:marTop w:val="0"/>
          <w:marBottom w:val="0"/>
          <w:divBdr>
            <w:top w:val="none" w:sz="0" w:space="0" w:color="auto"/>
            <w:left w:val="none" w:sz="0" w:space="0" w:color="auto"/>
            <w:bottom w:val="none" w:sz="0" w:space="0" w:color="auto"/>
            <w:right w:val="none" w:sz="0" w:space="0" w:color="auto"/>
          </w:divBdr>
          <w:divsChild>
            <w:div w:id="1985695365">
              <w:marLeft w:val="0"/>
              <w:marRight w:val="0"/>
              <w:marTop w:val="0"/>
              <w:marBottom w:val="0"/>
              <w:divBdr>
                <w:top w:val="none" w:sz="0" w:space="0" w:color="auto"/>
                <w:left w:val="none" w:sz="0" w:space="0" w:color="auto"/>
                <w:bottom w:val="none" w:sz="0" w:space="0" w:color="auto"/>
                <w:right w:val="none" w:sz="0" w:space="0" w:color="auto"/>
              </w:divBdr>
              <w:divsChild>
                <w:div w:id="1981956020">
                  <w:marLeft w:val="0"/>
                  <w:marRight w:val="0"/>
                  <w:marTop w:val="0"/>
                  <w:marBottom w:val="0"/>
                  <w:divBdr>
                    <w:top w:val="none" w:sz="0" w:space="0" w:color="auto"/>
                    <w:left w:val="none" w:sz="0" w:space="0" w:color="auto"/>
                    <w:bottom w:val="none" w:sz="0" w:space="0" w:color="auto"/>
                    <w:right w:val="none" w:sz="0" w:space="0" w:color="auto"/>
                  </w:divBdr>
                  <w:divsChild>
                    <w:div w:id="911811786">
                      <w:marLeft w:val="120"/>
                      <w:marRight w:val="0"/>
                      <w:marTop w:val="0"/>
                      <w:marBottom w:val="0"/>
                      <w:divBdr>
                        <w:top w:val="none" w:sz="0" w:space="0" w:color="auto"/>
                        <w:left w:val="none" w:sz="0" w:space="0" w:color="auto"/>
                        <w:bottom w:val="none" w:sz="0" w:space="0" w:color="auto"/>
                        <w:right w:val="none" w:sz="0" w:space="0" w:color="auto"/>
                      </w:divBdr>
                      <w:divsChild>
                        <w:div w:id="1975987438">
                          <w:marLeft w:val="0"/>
                          <w:marRight w:val="0"/>
                          <w:marTop w:val="0"/>
                          <w:marBottom w:val="0"/>
                          <w:divBdr>
                            <w:top w:val="none" w:sz="0" w:space="0" w:color="auto"/>
                            <w:left w:val="none" w:sz="0" w:space="0" w:color="auto"/>
                            <w:bottom w:val="none" w:sz="0" w:space="0" w:color="auto"/>
                            <w:right w:val="none" w:sz="0" w:space="0" w:color="auto"/>
                          </w:divBdr>
                          <w:divsChild>
                            <w:div w:id="388235921">
                              <w:marLeft w:val="0"/>
                              <w:marRight w:val="0"/>
                              <w:marTop w:val="0"/>
                              <w:marBottom w:val="0"/>
                              <w:divBdr>
                                <w:top w:val="none" w:sz="0" w:space="0" w:color="auto"/>
                                <w:left w:val="none" w:sz="0" w:space="0" w:color="auto"/>
                                <w:bottom w:val="none" w:sz="0" w:space="0" w:color="auto"/>
                                <w:right w:val="none" w:sz="0" w:space="0" w:color="auto"/>
                              </w:divBdr>
                              <w:divsChild>
                                <w:div w:id="1103919683">
                                  <w:marLeft w:val="-225"/>
                                  <w:marRight w:val="-195"/>
                                  <w:marTop w:val="0"/>
                                  <w:marBottom w:val="75"/>
                                  <w:divBdr>
                                    <w:top w:val="none" w:sz="0" w:space="0" w:color="auto"/>
                                    <w:left w:val="none" w:sz="0" w:space="0" w:color="auto"/>
                                    <w:bottom w:val="none" w:sz="0" w:space="0" w:color="auto"/>
                                    <w:right w:val="none" w:sz="0" w:space="0" w:color="auto"/>
                                  </w:divBdr>
                                  <w:divsChild>
                                    <w:div w:id="287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www.dkfz.de/Macromol/teaching/files/fcs_practical.pdf" TargetMode="Externa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www.jacksonimmuno.com/technical/f-cy3-5.a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 vs F for Q soln NaCl </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rendlineLbl>
          </c:trendline>
          <c:xVal>
            <c:numRef>
              <c:f>'[BM-60c2.xlsx]Sheet2'!$A$3:$A$6</c:f>
              <c:numCache>
                <c:formatCode>General</c:formatCode>
                <c:ptCount val="4"/>
                <c:pt idx="0">
                  <c:v>3.6000000000000002E-4</c:v>
                </c:pt>
                <c:pt idx="1">
                  <c:v>7.2000000000000005E-4</c:v>
                </c:pt>
                <c:pt idx="2">
                  <c:v>1.4399999999999999E-3</c:v>
                </c:pt>
                <c:pt idx="3">
                  <c:v>2.16E-3</c:v>
                </c:pt>
              </c:numCache>
            </c:numRef>
          </c:xVal>
          <c:yVal>
            <c:numRef>
              <c:f>'[BM-60c2.xlsx]Sheet2'!$B$3:$B$6</c:f>
              <c:numCache>
                <c:formatCode>General</c:formatCode>
                <c:ptCount val="4"/>
                <c:pt idx="0">
                  <c:v>290.24</c:v>
                </c:pt>
                <c:pt idx="1">
                  <c:v>286.52999999999997</c:v>
                </c:pt>
                <c:pt idx="2">
                  <c:v>268.375</c:v>
                </c:pt>
                <c:pt idx="3">
                  <c:v>252.398</c:v>
                </c:pt>
              </c:numCache>
            </c:numRef>
          </c:yVal>
          <c:smooth val="0"/>
        </c:ser>
        <c:dLbls>
          <c:showLegendKey val="0"/>
          <c:showVal val="0"/>
          <c:showCatName val="0"/>
          <c:showSerName val="0"/>
          <c:showPercent val="0"/>
          <c:showBubbleSize val="0"/>
        </c:dLbls>
        <c:axId val="35902208"/>
        <c:axId val="35904128"/>
      </c:scatterChart>
      <c:valAx>
        <c:axId val="35902208"/>
        <c:scaling>
          <c:orientation val="minMax"/>
        </c:scaling>
        <c:delete val="0"/>
        <c:axPos val="b"/>
        <c:title>
          <c:tx>
            <c:rich>
              <a:bodyPr/>
              <a:lstStyle/>
              <a:p>
                <a:pPr>
                  <a:defRPr/>
                </a:pPr>
                <a:r>
                  <a:rPr lang="en-US"/>
                  <a:t>Concentration Quencher (mL)</a:t>
                </a:r>
              </a:p>
            </c:rich>
          </c:tx>
          <c:layout>
            <c:manualLayout>
              <c:xMode val="edge"/>
              <c:yMode val="edge"/>
              <c:x val="0.33340048118985127"/>
              <c:y val="0.90645815106445027"/>
            </c:manualLayout>
          </c:layout>
          <c:overlay val="0"/>
        </c:title>
        <c:numFmt formatCode="General" sourceLinked="1"/>
        <c:majorTickMark val="out"/>
        <c:minorTickMark val="none"/>
        <c:tickLblPos val="nextTo"/>
        <c:crossAx val="35904128"/>
        <c:crosses val="autoZero"/>
        <c:crossBetween val="midCat"/>
      </c:valAx>
      <c:valAx>
        <c:axId val="35904128"/>
        <c:scaling>
          <c:orientation val="minMax"/>
        </c:scaling>
        <c:delete val="0"/>
        <c:axPos val="l"/>
        <c:majorGridlines/>
        <c:title>
          <c:tx>
            <c:rich>
              <a:bodyPr rot="-5400000" vert="horz"/>
              <a:lstStyle/>
              <a:p>
                <a:pPr>
                  <a:defRPr/>
                </a:pPr>
                <a:r>
                  <a:rPr lang="en-US"/>
                  <a:t>Fluorescence Intensity</a:t>
                </a:r>
              </a:p>
            </c:rich>
          </c:tx>
          <c:layout>
            <c:manualLayout>
              <c:xMode val="edge"/>
              <c:yMode val="edge"/>
              <c:x val="2.2222222222222223E-2"/>
              <c:y val="0.26122885680956548"/>
            </c:manualLayout>
          </c:layout>
          <c:overlay val="0"/>
        </c:title>
        <c:numFmt formatCode="General" sourceLinked="1"/>
        <c:majorTickMark val="out"/>
        <c:minorTickMark val="none"/>
        <c:tickLblPos val="nextTo"/>
        <c:crossAx val="359022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Fo/F vs [C] for Q soln NaCl</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rendlineLbl>
          </c:trendline>
          <c:xVal>
            <c:numRef>
              <c:f>'[BM-60c2.xlsx]Sheet2'!$A$9:$A$12</c:f>
              <c:numCache>
                <c:formatCode>General</c:formatCode>
                <c:ptCount val="4"/>
                <c:pt idx="0">
                  <c:v>3.6000000000000002E-4</c:v>
                </c:pt>
                <c:pt idx="1">
                  <c:v>7.2000000000000005E-4</c:v>
                </c:pt>
                <c:pt idx="2">
                  <c:v>1.4399999999999999E-3</c:v>
                </c:pt>
                <c:pt idx="3">
                  <c:v>2.16E-3</c:v>
                </c:pt>
              </c:numCache>
            </c:numRef>
          </c:xVal>
          <c:yVal>
            <c:numRef>
              <c:f>'[BM-60c2.xlsx]Sheet2'!$B$9:$B$12</c:f>
              <c:numCache>
                <c:formatCode>General</c:formatCode>
                <c:ptCount val="4"/>
                <c:pt idx="0">
                  <c:v>1.0333172546857774</c:v>
                </c:pt>
                <c:pt idx="1">
                  <c:v>1.0466966809758143</c:v>
                </c:pt>
                <c:pt idx="2">
                  <c:v>1.1175034932463903</c:v>
                </c:pt>
                <c:pt idx="3">
                  <c:v>1.1882423790996761</c:v>
                </c:pt>
              </c:numCache>
            </c:numRef>
          </c:yVal>
          <c:smooth val="0"/>
        </c:ser>
        <c:dLbls>
          <c:showLegendKey val="0"/>
          <c:showVal val="0"/>
          <c:showCatName val="0"/>
          <c:showSerName val="0"/>
          <c:showPercent val="0"/>
          <c:showBubbleSize val="0"/>
        </c:dLbls>
        <c:axId val="101059968"/>
        <c:axId val="101062144"/>
      </c:scatterChart>
      <c:valAx>
        <c:axId val="101059968"/>
        <c:scaling>
          <c:orientation val="minMax"/>
        </c:scaling>
        <c:delete val="0"/>
        <c:axPos val="b"/>
        <c:title>
          <c:tx>
            <c:rich>
              <a:bodyPr/>
              <a:lstStyle/>
              <a:p>
                <a:pPr>
                  <a:defRPr/>
                </a:pPr>
                <a:r>
                  <a:rPr lang="en-US"/>
                  <a:t>Concentration Quencher (mL)
</a:t>
                </a:r>
              </a:p>
            </c:rich>
          </c:tx>
          <c:layout>
            <c:manualLayout>
              <c:xMode val="edge"/>
              <c:yMode val="edge"/>
              <c:x val="0.33813648293963255"/>
              <c:y val="0.86384259259259255"/>
            </c:manualLayout>
          </c:layout>
          <c:overlay val="0"/>
        </c:title>
        <c:numFmt formatCode="General" sourceLinked="1"/>
        <c:majorTickMark val="out"/>
        <c:minorTickMark val="none"/>
        <c:tickLblPos val="nextTo"/>
        <c:crossAx val="101062144"/>
        <c:crosses val="autoZero"/>
        <c:crossBetween val="midCat"/>
      </c:valAx>
      <c:valAx>
        <c:axId val="101062144"/>
        <c:scaling>
          <c:orientation val="minMax"/>
        </c:scaling>
        <c:delete val="0"/>
        <c:axPos val="l"/>
        <c:majorGridlines/>
        <c:title>
          <c:tx>
            <c:rich>
              <a:bodyPr rot="-5400000" vert="horz"/>
              <a:lstStyle/>
              <a:p>
                <a:pPr>
                  <a:defRPr/>
                </a:pPr>
                <a:r>
                  <a:rPr lang="en-US"/>
                  <a:t>Fluorescence Intensity</a:t>
                </a:r>
              </a:p>
            </c:rich>
          </c:tx>
          <c:overlay val="0"/>
        </c:title>
        <c:numFmt formatCode="General" sourceLinked="1"/>
        <c:majorTickMark val="out"/>
        <c:minorTickMark val="none"/>
        <c:tickLblPos val="nextTo"/>
        <c:crossAx val="10105996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 vs C for Q soln KBr</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35178871391076116"/>
                  <c:y val="-7.2969889180519096E-2"/>
                </c:manualLayout>
              </c:layout>
              <c:numFmt formatCode="General" sourceLinked="0"/>
            </c:trendlineLbl>
          </c:trendline>
          <c:xVal>
            <c:numRef>
              <c:f>'[BM-60c2.xlsx]Sheet3'!$A$2:$A$5</c:f>
              <c:numCache>
                <c:formatCode>General</c:formatCode>
                <c:ptCount val="4"/>
                <c:pt idx="0">
                  <c:v>3.6000000000000002E-4</c:v>
                </c:pt>
                <c:pt idx="1">
                  <c:v>7.2000000000000005E-4</c:v>
                </c:pt>
                <c:pt idx="2">
                  <c:v>1.4399999999999999E-3</c:v>
                </c:pt>
                <c:pt idx="3">
                  <c:v>2.16E-3</c:v>
                </c:pt>
              </c:numCache>
            </c:numRef>
          </c:xVal>
          <c:yVal>
            <c:numRef>
              <c:f>'[BM-60c2.xlsx]Sheet3'!$B$2:$B$5</c:f>
              <c:numCache>
                <c:formatCode>General</c:formatCode>
                <c:ptCount val="4"/>
                <c:pt idx="0">
                  <c:v>291.06099999999998</c:v>
                </c:pt>
                <c:pt idx="1">
                  <c:v>279.34199999999998</c:v>
                </c:pt>
                <c:pt idx="2">
                  <c:v>271.428</c:v>
                </c:pt>
                <c:pt idx="3">
                  <c:v>242.47</c:v>
                </c:pt>
              </c:numCache>
            </c:numRef>
          </c:yVal>
          <c:smooth val="0"/>
        </c:ser>
        <c:dLbls>
          <c:showLegendKey val="0"/>
          <c:showVal val="0"/>
          <c:showCatName val="0"/>
          <c:showSerName val="0"/>
          <c:showPercent val="0"/>
          <c:showBubbleSize val="0"/>
        </c:dLbls>
        <c:axId val="101091200"/>
        <c:axId val="101097472"/>
      </c:scatterChart>
      <c:valAx>
        <c:axId val="101091200"/>
        <c:scaling>
          <c:orientation val="minMax"/>
        </c:scaling>
        <c:delete val="0"/>
        <c:axPos val="b"/>
        <c:title>
          <c:tx>
            <c:rich>
              <a:bodyPr/>
              <a:lstStyle/>
              <a:p>
                <a:pPr>
                  <a:defRPr/>
                </a:pPr>
                <a:r>
                  <a:rPr lang="en-US"/>
                  <a:t>Concentration Quencher (mL)</a:t>
                </a:r>
              </a:p>
            </c:rich>
          </c:tx>
          <c:overlay val="0"/>
        </c:title>
        <c:numFmt formatCode="General" sourceLinked="1"/>
        <c:majorTickMark val="out"/>
        <c:minorTickMark val="none"/>
        <c:tickLblPos val="nextTo"/>
        <c:crossAx val="101097472"/>
        <c:crosses val="autoZero"/>
        <c:crossBetween val="midCat"/>
      </c:valAx>
      <c:valAx>
        <c:axId val="101097472"/>
        <c:scaling>
          <c:orientation val="minMax"/>
        </c:scaling>
        <c:delete val="0"/>
        <c:axPos val="l"/>
        <c:majorGridlines/>
        <c:title>
          <c:tx>
            <c:rich>
              <a:bodyPr rot="-5400000" vert="horz"/>
              <a:lstStyle/>
              <a:p>
                <a:pPr>
                  <a:defRPr/>
                </a:pPr>
                <a:r>
                  <a:rPr lang="en-US"/>
                  <a:t>Fluorescence Intensity</a:t>
                </a:r>
              </a:p>
            </c:rich>
          </c:tx>
          <c:overlay val="0"/>
        </c:title>
        <c:numFmt formatCode="General" sourceLinked="1"/>
        <c:majorTickMark val="out"/>
        <c:minorTickMark val="none"/>
        <c:tickLblPos val="nextTo"/>
        <c:crossAx val="10109120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Fo/F vs C for Q soln KBr</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rendlineLbl>
          </c:trendline>
          <c:xVal>
            <c:numRef>
              <c:f>'[BM-60c2.xlsx]Sheet3'!$A$9:$A$12</c:f>
              <c:numCache>
                <c:formatCode>General</c:formatCode>
                <c:ptCount val="4"/>
                <c:pt idx="0">
                  <c:v>3.6000000000000002E-4</c:v>
                </c:pt>
                <c:pt idx="1">
                  <c:v>7.2000000000000005E-4</c:v>
                </c:pt>
                <c:pt idx="2">
                  <c:v>1.4399999999999999E-3</c:v>
                </c:pt>
                <c:pt idx="3">
                  <c:v>2.16E-3</c:v>
                </c:pt>
              </c:numCache>
            </c:numRef>
          </c:xVal>
          <c:yVal>
            <c:numRef>
              <c:f>'[BM-60c2.xlsx]Sheet3'!$B$9:$B$12</c:f>
              <c:numCache>
                <c:formatCode>General</c:formatCode>
                <c:ptCount val="4"/>
                <c:pt idx="0">
                  <c:v>1.0325326993310679</c:v>
                </c:pt>
                <c:pt idx="1">
                  <c:v>1.0758496753084033</c:v>
                </c:pt>
                <c:pt idx="2">
                  <c:v>1.1072181204592009</c:v>
                </c:pt>
                <c:pt idx="3">
                  <c:v>1.2394523033777374</c:v>
                </c:pt>
              </c:numCache>
            </c:numRef>
          </c:yVal>
          <c:smooth val="0"/>
        </c:ser>
        <c:dLbls>
          <c:showLegendKey val="0"/>
          <c:showVal val="0"/>
          <c:showCatName val="0"/>
          <c:showSerName val="0"/>
          <c:showPercent val="0"/>
          <c:showBubbleSize val="0"/>
        </c:dLbls>
        <c:axId val="136352128"/>
        <c:axId val="136354048"/>
      </c:scatterChart>
      <c:valAx>
        <c:axId val="136352128"/>
        <c:scaling>
          <c:orientation val="minMax"/>
        </c:scaling>
        <c:delete val="0"/>
        <c:axPos val="b"/>
        <c:title>
          <c:tx>
            <c:rich>
              <a:bodyPr/>
              <a:lstStyle/>
              <a:p>
                <a:pPr>
                  <a:defRPr/>
                </a:pPr>
                <a:r>
                  <a:rPr lang="en-US"/>
                  <a:t>Concentration Quencher (mL)</a:t>
                </a:r>
              </a:p>
            </c:rich>
          </c:tx>
          <c:overlay val="0"/>
        </c:title>
        <c:numFmt formatCode="General" sourceLinked="1"/>
        <c:majorTickMark val="out"/>
        <c:minorTickMark val="none"/>
        <c:tickLblPos val="nextTo"/>
        <c:crossAx val="136354048"/>
        <c:crosses val="autoZero"/>
        <c:crossBetween val="midCat"/>
      </c:valAx>
      <c:valAx>
        <c:axId val="136354048"/>
        <c:scaling>
          <c:orientation val="minMax"/>
        </c:scaling>
        <c:delete val="0"/>
        <c:axPos val="l"/>
        <c:majorGridlines/>
        <c:title>
          <c:tx>
            <c:rich>
              <a:bodyPr rot="-5400000" vert="horz"/>
              <a:lstStyle/>
              <a:p>
                <a:pPr>
                  <a:defRPr/>
                </a:pPr>
                <a:r>
                  <a:rPr lang="en-US"/>
                  <a:t>Fluorescence Intensity</a:t>
                </a:r>
              </a:p>
            </c:rich>
          </c:tx>
          <c:overlay val="0"/>
        </c:title>
        <c:numFmt formatCode="General" sourceLinked="1"/>
        <c:majorTickMark val="out"/>
        <c:minorTickMark val="none"/>
        <c:tickLblPos val="nextTo"/>
        <c:crossAx val="136352128"/>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 vs C for A soln KBr</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layout>
                <c:manualLayout>
                  <c:x val="0.26845538057742785"/>
                  <c:y val="-0.12297025371828521"/>
                </c:manualLayout>
              </c:layout>
              <c:numFmt formatCode="General" sourceLinked="0"/>
            </c:trendlineLbl>
          </c:trendline>
          <c:xVal>
            <c:numRef>
              <c:f>'[BM-60c2.xlsx]Sheet5'!$A$3:$A$6</c:f>
              <c:numCache>
                <c:formatCode>General</c:formatCode>
                <c:ptCount val="4"/>
                <c:pt idx="0">
                  <c:v>3.6000000000000002E-4</c:v>
                </c:pt>
                <c:pt idx="1">
                  <c:v>7.2000000000000005E-4</c:v>
                </c:pt>
                <c:pt idx="2">
                  <c:v>1.4399999999999999E-3</c:v>
                </c:pt>
                <c:pt idx="3">
                  <c:v>2.16E-3</c:v>
                </c:pt>
              </c:numCache>
            </c:numRef>
          </c:xVal>
          <c:yVal>
            <c:numRef>
              <c:f>'[BM-60c2.xlsx]Sheet5'!$B$3:$B$6</c:f>
              <c:numCache>
                <c:formatCode>General</c:formatCode>
                <c:ptCount val="4"/>
                <c:pt idx="0">
                  <c:v>261.88900000000001</c:v>
                </c:pt>
                <c:pt idx="1">
                  <c:v>236.971</c:v>
                </c:pt>
                <c:pt idx="2">
                  <c:v>199.66800000000001</c:v>
                </c:pt>
                <c:pt idx="3">
                  <c:v>171.07599999999999</c:v>
                </c:pt>
              </c:numCache>
            </c:numRef>
          </c:yVal>
          <c:smooth val="0"/>
        </c:ser>
        <c:dLbls>
          <c:showLegendKey val="0"/>
          <c:showVal val="0"/>
          <c:showCatName val="0"/>
          <c:showSerName val="0"/>
          <c:showPercent val="0"/>
          <c:showBubbleSize val="0"/>
        </c:dLbls>
        <c:axId val="136371200"/>
        <c:axId val="102302848"/>
      </c:scatterChart>
      <c:valAx>
        <c:axId val="136371200"/>
        <c:scaling>
          <c:orientation val="minMax"/>
        </c:scaling>
        <c:delete val="0"/>
        <c:axPos val="b"/>
        <c:title>
          <c:tx>
            <c:rich>
              <a:bodyPr/>
              <a:lstStyle/>
              <a:p>
                <a:pPr>
                  <a:defRPr/>
                </a:pPr>
                <a:r>
                  <a:rPr lang="en-US"/>
                  <a:t>Concentration Quencher (mL)</a:t>
                </a:r>
              </a:p>
            </c:rich>
          </c:tx>
          <c:overlay val="0"/>
        </c:title>
        <c:numFmt formatCode="General" sourceLinked="1"/>
        <c:majorTickMark val="out"/>
        <c:minorTickMark val="none"/>
        <c:tickLblPos val="nextTo"/>
        <c:crossAx val="102302848"/>
        <c:crosses val="autoZero"/>
        <c:crossBetween val="midCat"/>
      </c:valAx>
      <c:valAx>
        <c:axId val="102302848"/>
        <c:scaling>
          <c:orientation val="minMax"/>
        </c:scaling>
        <c:delete val="0"/>
        <c:axPos val="l"/>
        <c:majorGridlines/>
        <c:title>
          <c:tx>
            <c:rich>
              <a:bodyPr rot="-5400000" vert="horz"/>
              <a:lstStyle/>
              <a:p>
                <a:pPr>
                  <a:defRPr/>
                </a:pPr>
                <a:r>
                  <a:rPr lang="en-US"/>
                  <a:t>Fluorescence Intensity</a:t>
                </a:r>
              </a:p>
            </c:rich>
          </c:tx>
          <c:overlay val="0"/>
        </c:title>
        <c:numFmt formatCode="General" sourceLinked="1"/>
        <c:majorTickMark val="out"/>
        <c:minorTickMark val="none"/>
        <c:tickLblPos val="nextTo"/>
        <c:crossAx val="13637120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Fo/F vs C for A soln KBr</a:t>
            </a:r>
          </a:p>
        </c:rich>
      </c:tx>
      <c:overlay val="0"/>
    </c:title>
    <c:autoTitleDeleted val="0"/>
    <c:plotArea>
      <c:layout/>
      <c:scatterChart>
        <c:scatterStyle val="lineMarker"/>
        <c:varyColors val="0"/>
        <c:ser>
          <c:idx val="0"/>
          <c:order val="0"/>
          <c:spPr>
            <a:ln w="28575">
              <a:noFill/>
            </a:ln>
          </c:spPr>
          <c:trendline>
            <c:trendlineType val="linear"/>
            <c:dispRSqr val="1"/>
            <c:dispEq val="1"/>
            <c:trendlineLbl>
              <c:numFmt formatCode="General" sourceLinked="0"/>
            </c:trendlineLbl>
          </c:trendline>
          <c:xVal>
            <c:numRef>
              <c:f>'[BM-60c2.xlsx]Sheet5'!$A$9:$A$12</c:f>
              <c:numCache>
                <c:formatCode>General</c:formatCode>
                <c:ptCount val="4"/>
                <c:pt idx="0">
                  <c:v>3.6000000000000002E-4</c:v>
                </c:pt>
                <c:pt idx="1">
                  <c:v>7.2000000000000005E-4</c:v>
                </c:pt>
                <c:pt idx="2">
                  <c:v>1.4399999999999999E-3</c:v>
                </c:pt>
                <c:pt idx="3">
                  <c:v>2.16E-3</c:v>
                </c:pt>
              </c:numCache>
            </c:numRef>
          </c:xVal>
          <c:yVal>
            <c:numRef>
              <c:f>'[BM-60c2.xlsx]Sheet5'!$B$9:$B$12</c:f>
              <c:numCache>
                <c:formatCode>General</c:formatCode>
                <c:ptCount val="4"/>
                <c:pt idx="0">
                  <c:v>1.0533088445868288</c:v>
                </c:pt>
                <c:pt idx="1">
                  <c:v>1.1640664891484613</c:v>
                </c:pt>
                <c:pt idx="2">
                  <c:v>1.3815433619808883</c:v>
                </c:pt>
                <c:pt idx="3">
                  <c:v>1.6124412541794293</c:v>
                </c:pt>
              </c:numCache>
            </c:numRef>
          </c:yVal>
          <c:smooth val="0"/>
        </c:ser>
        <c:dLbls>
          <c:showLegendKey val="0"/>
          <c:showVal val="0"/>
          <c:showCatName val="0"/>
          <c:showSerName val="0"/>
          <c:showPercent val="0"/>
          <c:showBubbleSize val="0"/>
        </c:dLbls>
        <c:axId val="102360960"/>
        <c:axId val="102363136"/>
      </c:scatterChart>
      <c:valAx>
        <c:axId val="102360960"/>
        <c:scaling>
          <c:orientation val="minMax"/>
        </c:scaling>
        <c:delete val="0"/>
        <c:axPos val="b"/>
        <c:title>
          <c:tx>
            <c:rich>
              <a:bodyPr/>
              <a:lstStyle/>
              <a:p>
                <a:pPr>
                  <a:defRPr/>
                </a:pPr>
                <a:r>
                  <a:rPr lang="en-US"/>
                  <a:t>Concentration Quencher (mL)</a:t>
                </a:r>
              </a:p>
            </c:rich>
          </c:tx>
          <c:overlay val="0"/>
        </c:title>
        <c:numFmt formatCode="General" sourceLinked="1"/>
        <c:majorTickMark val="out"/>
        <c:minorTickMark val="none"/>
        <c:tickLblPos val="nextTo"/>
        <c:crossAx val="102363136"/>
        <c:crosses val="autoZero"/>
        <c:crossBetween val="midCat"/>
      </c:valAx>
      <c:valAx>
        <c:axId val="102363136"/>
        <c:scaling>
          <c:orientation val="minMax"/>
        </c:scaling>
        <c:delete val="0"/>
        <c:axPos val="l"/>
        <c:majorGridlines/>
        <c:title>
          <c:tx>
            <c:rich>
              <a:bodyPr rot="-5400000" vert="horz"/>
              <a:lstStyle/>
              <a:p>
                <a:pPr>
                  <a:defRPr/>
                </a:pPr>
                <a:r>
                  <a:rPr lang="en-US"/>
                  <a:t>Fluorescence Intensity</a:t>
                </a:r>
              </a:p>
            </c:rich>
          </c:tx>
          <c:overlay val="0"/>
        </c:title>
        <c:numFmt formatCode="General" sourceLinked="1"/>
        <c:majorTickMark val="out"/>
        <c:minorTickMark val="none"/>
        <c:tickLblPos val="nextTo"/>
        <c:crossAx val="10236096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n-US" sz="1100"/>
              <a:t>Concentration Quencher (mL) vs. Fluorescence Intensity (a.u.) for </a:t>
            </a:r>
            <a:r>
              <a:rPr lang="en-US" sz="1100" baseline="0"/>
              <a:t> Fluorophores, Q-NaCl, Q-KBr, A-NaCl and A-KBr</a:t>
            </a:r>
            <a:endParaRPr lang="en-US" sz="1100"/>
          </a:p>
        </c:rich>
      </c:tx>
      <c:overlay val="1"/>
    </c:title>
    <c:autoTitleDeleted val="0"/>
    <c:plotArea>
      <c:layout>
        <c:manualLayout>
          <c:layoutTarget val="inner"/>
          <c:xMode val="edge"/>
          <c:yMode val="edge"/>
          <c:x val="0.13595812496071971"/>
          <c:y val="8.546933604908219E-2"/>
          <c:w val="0.68990204616669215"/>
          <c:h val="0.76937156909014137"/>
        </c:manualLayout>
      </c:layout>
      <c:scatterChart>
        <c:scatterStyle val="lineMarker"/>
        <c:varyColors val="0"/>
        <c:ser>
          <c:idx val="0"/>
          <c:order val="0"/>
          <c:tx>
            <c:v>Q-NaCl</c:v>
          </c:tx>
          <c:spPr>
            <a:ln w="47625">
              <a:noFill/>
            </a:ln>
          </c:spPr>
          <c:trendline>
            <c:trendlineType val="linear"/>
            <c:dispRSqr val="0"/>
            <c:dispEq val="1"/>
            <c:trendlineLbl>
              <c:layout>
                <c:manualLayout>
                  <c:x val="0.24484411243466361"/>
                  <c:y val="1.0960373855707061E-2"/>
                </c:manualLayout>
              </c:layout>
              <c:numFmt formatCode="General" sourceLinked="0"/>
            </c:trendlineLbl>
          </c:trendline>
          <c:xVal>
            <c:numRef>
              <c:f>Sheet1!$B$6:$B$9</c:f>
              <c:numCache>
                <c:formatCode>General</c:formatCode>
                <c:ptCount val="4"/>
                <c:pt idx="0">
                  <c:v>3.6000000000000002E-4</c:v>
                </c:pt>
                <c:pt idx="1">
                  <c:v>7.2000000000000005E-4</c:v>
                </c:pt>
                <c:pt idx="2">
                  <c:v>1.4399999999999999E-3</c:v>
                </c:pt>
                <c:pt idx="3">
                  <c:v>2.16E-3</c:v>
                </c:pt>
              </c:numCache>
            </c:numRef>
          </c:xVal>
          <c:yVal>
            <c:numRef>
              <c:f>Sheet1!$E$6:$E$9</c:f>
              <c:numCache>
                <c:formatCode>General</c:formatCode>
                <c:ptCount val="4"/>
                <c:pt idx="0">
                  <c:v>0.99312293274531427</c:v>
                </c:pt>
                <c:pt idx="1">
                  <c:v>1.0059819216137929</c:v>
                </c:pt>
                <c:pt idx="2">
                  <c:v>1.074034466697718</c:v>
                </c:pt>
                <c:pt idx="3">
                  <c:v>1.1420217275889668</c:v>
                </c:pt>
              </c:numCache>
            </c:numRef>
          </c:yVal>
          <c:smooth val="0"/>
        </c:ser>
        <c:ser>
          <c:idx val="1"/>
          <c:order val="1"/>
          <c:tx>
            <c:v>Q-KBr</c:v>
          </c:tx>
          <c:spPr>
            <a:ln w="47625">
              <a:noFill/>
            </a:ln>
          </c:spPr>
          <c:trendline>
            <c:trendlineType val="linear"/>
            <c:dispRSqr val="0"/>
            <c:dispEq val="1"/>
            <c:trendlineLbl>
              <c:layout>
                <c:manualLayout>
                  <c:x val="0.17655905511810999"/>
                  <c:y val="-7.2440944881889804E-2"/>
                </c:manualLayout>
              </c:layout>
              <c:numFmt formatCode="General" sourceLinked="0"/>
            </c:trendlineLbl>
          </c:trendline>
          <c:xVal>
            <c:numRef>
              <c:f>Sheet1!$B$10:$B$13</c:f>
              <c:numCache>
                <c:formatCode>General</c:formatCode>
                <c:ptCount val="4"/>
                <c:pt idx="0">
                  <c:v>3.6000000000000002E-4</c:v>
                </c:pt>
                <c:pt idx="1">
                  <c:v>7.2000000000000005E-4</c:v>
                </c:pt>
                <c:pt idx="2">
                  <c:v>1.4399999999999999E-3</c:v>
                </c:pt>
                <c:pt idx="3">
                  <c:v>2.16E-3</c:v>
                </c:pt>
              </c:numCache>
            </c:numRef>
          </c:xVal>
          <c:yVal>
            <c:numRef>
              <c:f>Sheet1!$E$10:$E$13</c:f>
              <c:numCache>
                <c:formatCode>General</c:formatCode>
                <c:ptCount val="4"/>
                <c:pt idx="0">
                  <c:v>0.99032161643092009</c:v>
                </c:pt>
                <c:pt idx="1">
                  <c:v>1.0318677463467723</c:v>
                </c:pt>
                <c:pt idx="2">
                  <c:v>1.0619538146396099</c:v>
                </c:pt>
                <c:pt idx="3">
                  <c:v>1.1887821173753454</c:v>
                </c:pt>
              </c:numCache>
            </c:numRef>
          </c:yVal>
          <c:smooth val="0"/>
        </c:ser>
        <c:ser>
          <c:idx val="2"/>
          <c:order val="2"/>
          <c:tx>
            <c:v>A-NaCl</c:v>
          </c:tx>
          <c:spPr>
            <a:ln w="47625">
              <a:noFill/>
            </a:ln>
          </c:spPr>
          <c:trendline>
            <c:trendlineType val="linear"/>
            <c:dispRSqr val="0"/>
            <c:dispEq val="1"/>
            <c:trendlineLbl>
              <c:layout>
                <c:manualLayout>
                  <c:x val="4.9104111986001703E-2"/>
                  <c:y val="0.141940434529017"/>
                </c:manualLayout>
              </c:layout>
              <c:numFmt formatCode="General" sourceLinked="0"/>
            </c:trendlineLbl>
          </c:trendline>
          <c:xVal>
            <c:numRef>
              <c:f>Sheet1!$G$6:$G$9</c:f>
              <c:numCache>
                <c:formatCode>General</c:formatCode>
                <c:ptCount val="4"/>
                <c:pt idx="0">
                  <c:v>3.6000000000000002E-4</c:v>
                </c:pt>
                <c:pt idx="1">
                  <c:v>7.2000000000000005E-4</c:v>
                </c:pt>
                <c:pt idx="2">
                  <c:v>1.4399999999999999E-3</c:v>
                </c:pt>
                <c:pt idx="3">
                  <c:v>2.16E-3</c:v>
                </c:pt>
              </c:numCache>
            </c:numRef>
          </c:xVal>
          <c:yVal>
            <c:numRef>
              <c:f>Sheet1!$J$6:$J$9</c:f>
              <c:numCache>
                <c:formatCode>General</c:formatCode>
                <c:ptCount val="4"/>
                <c:pt idx="0">
                  <c:v>0.99035136231242848</c:v>
                </c:pt>
                <c:pt idx="1">
                  <c:v>0.97594055988518902</c:v>
                </c:pt>
                <c:pt idx="2">
                  <c:v>0.97314030873791335</c:v>
                </c:pt>
                <c:pt idx="3">
                  <c:v>0.98709416628387692</c:v>
                </c:pt>
              </c:numCache>
            </c:numRef>
          </c:yVal>
          <c:smooth val="0"/>
        </c:ser>
        <c:ser>
          <c:idx val="3"/>
          <c:order val="3"/>
          <c:tx>
            <c:v>A-KBr</c:v>
          </c:tx>
          <c:spPr>
            <a:ln w="47625">
              <a:noFill/>
            </a:ln>
          </c:spPr>
          <c:trendline>
            <c:trendlineType val="linear"/>
            <c:dispRSqr val="0"/>
            <c:dispEq val="1"/>
            <c:trendlineLbl>
              <c:layout>
                <c:manualLayout>
                  <c:x val="-9.9986173336086698E-2"/>
                  <c:y val="1.2442932015201569E-2"/>
                </c:manualLayout>
              </c:layout>
              <c:numFmt formatCode="General" sourceLinked="0"/>
            </c:trendlineLbl>
          </c:trendline>
          <c:xVal>
            <c:numRef>
              <c:f>Sheet1!$G$10:$G$13</c:f>
              <c:numCache>
                <c:formatCode>General</c:formatCode>
                <c:ptCount val="4"/>
                <c:pt idx="0">
                  <c:v>3.6000000000000002E-4</c:v>
                </c:pt>
                <c:pt idx="1">
                  <c:v>7.2000000000000005E-4</c:v>
                </c:pt>
                <c:pt idx="2">
                  <c:v>1.4399999999999999E-3</c:v>
                </c:pt>
                <c:pt idx="3">
                  <c:v>2.16E-3</c:v>
                </c:pt>
              </c:numCache>
            </c:numRef>
          </c:xVal>
          <c:yVal>
            <c:numRef>
              <c:f>Sheet1!$J$10:$J$13</c:f>
              <c:numCache>
                <c:formatCode>General</c:formatCode>
                <c:ptCount val="4"/>
                <c:pt idx="0">
                  <c:v>1.0256749997136192</c:v>
                </c:pt>
                <c:pt idx="1">
                  <c:v>1.1335268872562465</c:v>
                </c:pt>
                <c:pt idx="2">
                  <c:v>1.3452981950037062</c:v>
                </c:pt>
                <c:pt idx="3">
                  <c:v>1.5701384180130469</c:v>
                </c:pt>
              </c:numCache>
            </c:numRef>
          </c:yVal>
          <c:smooth val="0"/>
        </c:ser>
        <c:dLbls>
          <c:showLegendKey val="0"/>
          <c:showVal val="0"/>
          <c:showCatName val="0"/>
          <c:showSerName val="0"/>
          <c:showPercent val="0"/>
          <c:showBubbleSize val="0"/>
        </c:dLbls>
        <c:axId val="102422016"/>
        <c:axId val="102423936"/>
      </c:scatterChart>
      <c:valAx>
        <c:axId val="102422016"/>
        <c:scaling>
          <c:orientation val="minMax"/>
        </c:scaling>
        <c:delete val="0"/>
        <c:axPos val="b"/>
        <c:title>
          <c:tx>
            <c:rich>
              <a:bodyPr/>
              <a:lstStyle/>
              <a:p>
                <a:pPr>
                  <a:defRPr/>
                </a:pPr>
                <a:r>
                  <a:rPr lang="en-US"/>
                  <a:t>Concentration Quencher (mL)</a:t>
                </a:r>
              </a:p>
            </c:rich>
          </c:tx>
          <c:overlay val="0"/>
        </c:title>
        <c:numFmt formatCode="General" sourceLinked="1"/>
        <c:majorTickMark val="out"/>
        <c:minorTickMark val="none"/>
        <c:tickLblPos val="nextTo"/>
        <c:crossAx val="102423936"/>
        <c:crosses val="autoZero"/>
        <c:crossBetween val="midCat"/>
      </c:valAx>
      <c:valAx>
        <c:axId val="102423936"/>
        <c:scaling>
          <c:orientation val="minMax"/>
        </c:scaling>
        <c:delete val="0"/>
        <c:axPos val="l"/>
        <c:title>
          <c:tx>
            <c:rich>
              <a:bodyPr rot="-5400000" vert="horz"/>
              <a:lstStyle/>
              <a:p>
                <a:pPr>
                  <a:defRPr/>
                </a:pPr>
                <a:r>
                  <a:rPr lang="en-US"/>
                  <a:t>Fluorescence Intensity (a.u.)</a:t>
                </a:r>
              </a:p>
            </c:rich>
          </c:tx>
          <c:overlay val="0"/>
        </c:title>
        <c:numFmt formatCode="General" sourceLinked="1"/>
        <c:majorTickMark val="out"/>
        <c:minorTickMark val="none"/>
        <c:tickLblPos val="nextTo"/>
        <c:crossAx val="102422016"/>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3730659308612065"/>
          <c:y val="0.43760169003264837"/>
          <c:w val="0.132351487314086"/>
          <c:h val="0.37190580344123603"/>
        </c:manualLayout>
      </c:layout>
      <c:overlay val="0"/>
      <c:spPr>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B9EB-EA13-49C6-B9D8-8C80BBA3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15</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K6PMXJH3</dc:creator>
  <cp:lastModifiedBy>Jo</cp:lastModifiedBy>
  <cp:revision>103</cp:revision>
  <cp:lastPrinted>2013-05-20T20:13:00Z</cp:lastPrinted>
  <dcterms:created xsi:type="dcterms:W3CDTF">2013-06-12T23:10:00Z</dcterms:created>
  <dcterms:modified xsi:type="dcterms:W3CDTF">2013-06-20T21:11:00Z</dcterms:modified>
</cp:coreProperties>
</file>