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3" w:rsidRPr="00A948F3" w:rsidRDefault="00A948F3">
      <w:pPr>
        <w:rPr>
          <w:u w:val="single"/>
        </w:rPr>
      </w:pPr>
      <w:r w:rsidRPr="00A948F3">
        <w:rPr>
          <w:u w:val="single"/>
        </w:rPr>
        <w:t>Dentistry</w:t>
      </w:r>
    </w:p>
    <w:p w:rsidR="005A7FE8" w:rsidRDefault="00A948F3">
      <w:r w:rsidRPr="00A948F3">
        <w:t xml:space="preserve"> In a study, 28 adults with mild periodontal disease are assessed before and 6 months after implementation of a dental- education program intended to promote better oral hygiene. After 6 months, periodontal status improved in 15 patients, declined in 8, and remained the same in 5.</w:t>
      </w:r>
    </w:p>
    <w:p w:rsidR="00A948F3" w:rsidRDefault="00A948F3">
      <w:r w:rsidRPr="00A948F3">
        <w:rPr>
          <w:highlight w:val="yellow"/>
        </w:rPr>
        <w:t>9.4 Suppose there are two samples of size 6 and 7, with a rank sum of 58 in the sample of size 6. Using the Wilcoxon rank- sum test, evaluate the significance of the results, assuming there are no ties.</w:t>
      </w:r>
    </w:p>
    <w:p w:rsidR="00A948F3" w:rsidRDefault="00A948F3"/>
    <w:p w:rsidR="00E04784" w:rsidRPr="00E04784" w:rsidRDefault="00E04784">
      <w:pPr>
        <w:rPr>
          <w:u w:val="single"/>
        </w:rPr>
      </w:pPr>
      <w:r w:rsidRPr="00E04784">
        <w:rPr>
          <w:u w:val="single"/>
        </w:rPr>
        <w:t>Infectious Disease</w:t>
      </w:r>
    </w:p>
    <w:p w:rsidR="00E04784" w:rsidRDefault="00E04784">
      <w:r w:rsidRPr="00E04784">
        <w:t xml:space="preserve">The distribution of white- blood- cell count is typically positively skewed, and assumptions of normality are usually not valid. </w:t>
      </w:r>
    </w:p>
    <w:p w:rsidR="00E04784" w:rsidRPr="00E04784" w:rsidRDefault="00E04784">
      <w:pPr>
        <w:rPr>
          <w:highlight w:val="yellow"/>
        </w:rPr>
      </w:pPr>
      <w:r w:rsidRPr="00E04784">
        <w:rPr>
          <w:highlight w:val="yellow"/>
        </w:rPr>
        <w:t xml:space="preserve">9.11 To compare the distribution of white- blood- cell counts of patients on the medical and surgical services in Table 2.11 when normality is not assumed, what test can be used? </w:t>
      </w:r>
    </w:p>
    <w:p w:rsidR="00A948F3" w:rsidRDefault="00E04784">
      <w:r w:rsidRPr="00E04784">
        <w:rPr>
          <w:highlight w:val="yellow"/>
        </w:rPr>
        <w:t>9.12 Perform the test in Problem 9.11, and report a p- value.</w:t>
      </w:r>
    </w:p>
    <w:p w:rsidR="00E04784" w:rsidRDefault="00E04784"/>
    <w:p w:rsidR="00E04784" w:rsidRDefault="00E04784">
      <w:pPr>
        <w:rPr>
          <w:u w:val="single"/>
        </w:rPr>
      </w:pPr>
      <w:r w:rsidRPr="00E04784">
        <w:rPr>
          <w:u w:val="single"/>
        </w:rPr>
        <w:t>Ophthalmology</w:t>
      </w:r>
    </w:p>
    <w:p w:rsidR="003A4196" w:rsidRPr="00E04784" w:rsidRDefault="003A4196">
      <w:pPr>
        <w:rPr>
          <w:u w:val="single"/>
        </w:rPr>
      </w:pPr>
      <w:r w:rsidRPr="003A4196">
        <w:t>An investigator wants to test a new eye drop that is supposed to prevent ocular itching during allergy season. To study the drug she uses a contralate</w:t>
      </w:r>
      <w:r>
        <w:t>ral design whereby for each par</w:t>
      </w:r>
      <w:r w:rsidRPr="003A4196">
        <w:t>ticipant one eye is randomized (using a random- number table) to get active drug (A) while the other eye gets placebo (P). The participants use the eye drops three times a day for a 1- week period and then report their degree of itching in</w:t>
      </w:r>
      <w:r>
        <w:t xml:space="preserve"> each eye on a 4- point scale (</w:t>
      </w:r>
      <w:r w:rsidRPr="003A4196">
        <w:t>1 = none, 2 = mild, 3 = moderate, 4 = severe) without knowing which eye drop is used in which eye. Ten participants are randomized into the study.</w:t>
      </w:r>
    </w:p>
    <w:p w:rsidR="00E04784" w:rsidRDefault="00E04784">
      <w:r w:rsidRPr="00E04784">
        <w:t xml:space="preserve">Refer to the data set in Tables 7.7 and 7.8 </w:t>
      </w:r>
    </w:p>
    <w:p w:rsidR="009F74C6" w:rsidRPr="00307A6E" w:rsidRDefault="003A4196">
      <w:pPr>
        <w:rPr>
          <w:i/>
        </w:rPr>
      </w:pPr>
      <w:r>
        <w:rPr>
          <w:i/>
        </w:rPr>
        <w:t xml:space="preserve">Table 7.7 </w:t>
      </w:r>
      <w:r w:rsidRPr="003A4196">
        <w:rPr>
          <w:i/>
        </w:rPr>
        <w:t>Randomization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74C6" w:rsidTr="0040424B">
        <w:tc>
          <w:tcPr>
            <w:tcW w:w="1596" w:type="dxa"/>
            <w:shd w:val="clear" w:color="auto" w:fill="auto"/>
          </w:tcPr>
          <w:p w:rsidR="009F74C6" w:rsidRPr="002C64E9" w:rsidRDefault="009F74C6" w:rsidP="009F7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EEECE1" w:themeFill="background2"/>
          </w:tcPr>
          <w:p w:rsidR="009F74C6" w:rsidRPr="002C64E9" w:rsidRDefault="009F74C6" w:rsidP="009F74C6">
            <w:pPr>
              <w:jc w:val="center"/>
              <w:rPr>
                <w:sz w:val="24"/>
                <w:szCs w:val="24"/>
              </w:rPr>
            </w:pPr>
            <w:r w:rsidRPr="002C64E9">
              <w:rPr>
                <w:sz w:val="24"/>
                <w:szCs w:val="24"/>
              </w:rPr>
              <w:t>Eye w/ active drug</w:t>
            </w:r>
          </w:p>
        </w:tc>
        <w:tc>
          <w:tcPr>
            <w:tcW w:w="1596" w:type="dxa"/>
            <w:shd w:val="clear" w:color="auto" w:fill="auto"/>
          </w:tcPr>
          <w:p w:rsidR="009F74C6" w:rsidRPr="002C64E9" w:rsidRDefault="009F74C6" w:rsidP="009F7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C6D9F1" w:themeFill="text2" w:themeFillTint="33"/>
          </w:tcPr>
          <w:p w:rsidR="009F74C6" w:rsidRPr="002C64E9" w:rsidRDefault="009F74C6" w:rsidP="009F74C6">
            <w:pPr>
              <w:jc w:val="center"/>
              <w:rPr>
                <w:sz w:val="24"/>
                <w:szCs w:val="24"/>
              </w:rPr>
            </w:pPr>
            <w:r w:rsidRPr="002C64E9">
              <w:rPr>
                <w:sz w:val="24"/>
                <w:szCs w:val="24"/>
              </w:rPr>
              <w:t>Eye w/ placebo</w:t>
            </w:r>
          </w:p>
        </w:tc>
      </w:tr>
      <w:tr w:rsidR="009F74C6" w:rsidTr="0040424B">
        <w:tc>
          <w:tcPr>
            <w:tcW w:w="1596" w:type="dxa"/>
            <w:shd w:val="clear" w:color="auto" w:fill="auto"/>
          </w:tcPr>
          <w:p w:rsidR="009F74C6" w:rsidRPr="002C64E9" w:rsidRDefault="009F74C6" w:rsidP="009F74C6">
            <w:pPr>
              <w:jc w:val="center"/>
              <w:rPr>
                <w:b/>
                <w:sz w:val="24"/>
                <w:szCs w:val="24"/>
              </w:rPr>
            </w:pPr>
            <w:r w:rsidRPr="002C64E9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Pr="002C64E9" w:rsidRDefault="009F74C6" w:rsidP="009F74C6">
            <w:pPr>
              <w:jc w:val="center"/>
              <w:rPr>
                <w:b/>
                <w:sz w:val="24"/>
                <w:szCs w:val="24"/>
              </w:rPr>
            </w:pPr>
            <w:r w:rsidRPr="002C64E9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Pr="002C64E9" w:rsidRDefault="009F74C6" w:rsidP="009F74C6">
            <w:pPr>
              <w:jc w:val="center"/>
              <w:rPr>
                <w:b/>
                <w:sz w:val="24"/>
                <w:szCs w:val="24"/>
              </w:rPr>
            </w:pPr>
            <w:r w:rsidRPr="002C64E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596" w:type="dxa"/>
            <w:shd w:val="clear" w:color="auto" w:fill="auto"/>
          </w:tcPr>
          <w:p w:rsidR="009F74C6" w:rsidRPr="002C64E9" w:rsidRDefault="009F74C6" w:rsidP="009F74C6">
            <w:pPr>
              <w:jc w:val="center"/>
              <w:rPr>
                <w:b/>
                <w:sz w:val="24"/>
                <w:szCs w:val="24"/>
              </w:rPr>
            </w:pPr>
            <w:r w:rsidRPr="002C64E9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Pr="002C64E9" w:rsidRDefault="009F74C6" w:rsidP="009F74C6">
            <w:pPr>
              <w:jc w:val="center"/>
              <w:rPr>
                <w:b/>
                <w:sz w:val="24"/>
                <w:szCs w:val="24"/>
              </w:rPr>
            </w:pPr>
            <w:r w:rsidRPr="002C64E9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Pr="002C64E9" w:rsidRDefault="009F74C6" w:rsidP="009F74C6">
            <w:pPr>
              <w:jc w:val="center"/>
              <w:rPr>
                <w:b/>
                <w:sz w:val="24"/>
                <w:szCs w:val="24"/>
              </w:rPr>
            </w:pPr>
            <w:r w:rsidRPr="002C64E9">
              <w:rPr>
                <w:b/>
                <w:sz w:val="24"/>
                <w:szCs w:val="24"/>
              </w:rPr>
              <w:t>R</w:t>
            </w:r>
          </w:p>
        </w:tc>
      </w:tr>
      <w:tr w:rsidR="009F74C6" w:rsidTr="0040424B"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1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P</w:t>
            </w:r>
          </w:p>
        </w:tc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6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P</w:t>
            </w:r>
          </w:p>
        </w:tc>
      </w:tr>
      <w:tr w:rsidR="009F74C6" w:rsidTr="0040424B"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P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P</w:t>
            </w:r>
          </w:p>
        </w:tc>
      </w:tr>
      <w:tr w:rsidR="009F74C6" w:rsidTr="0040424B"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3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P</w:t>
            </w:r>
          </w:p>
        </w:tc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8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P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A</w:t>
            </w:r>
          </w:p>
        </w:tc>
      </w:tr>
      <w:tr w:rsidR="009F74C6" w:rsidTr="0040424B"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4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P</w:t>
            </w:r>
          </w:p>
        </w:tc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9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P</w:t>
            </w:r>
          </w:p>
        </w:tc>
      </w:tr>
      <w:tr w:rsidR="009F74C6" w:rsidTr="0040424B"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5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P</w:t>
            </w:r>
          </w:p>
        </w:tc>
        <w:tc>
          <w:tcPr>
            <w:tcW w:w="1596" w:type="dxa"/>
            <w:shd w:val="clear" w:color="auto" w:fill="EEECE1" w:themeFill="background2"/>
          </w:tcPr>
          <w:p w:rsidR="009F74C6" w:rsidRDefault="0051720F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</w:tcPr>
          <w:p w:rsidR="009F74C6" w:rsidRDefault="009F74C6" w:rsidP="009F74C6">
            <w:pPr>
              <w:jc w:val="center"/>
            </w:pPr>
            <w:r>
              <w:t>10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A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F74C6" w:rsidRDefault="002C64E9" w:rsidP="009F74C6">
            <w:pPr>
              <w:jc w:val="center"/>
            </w:pPr>
            <w:r>
              <w:t>P</w:t>
            </w:r>
          </w:p>
        </w:tc>
      </w:tr>
    </w:tbl>
    <w:p w:rsidR="009F74C6" w:rsidRDefault="009F74C6"/>
    <w:p w:rsidR="0072516F" w:rsidRDefault="0072516F"/>
    <w:p w:rsidR="00F47E0A" w:rsidRPr="00307A6E" w:rsidRDefault="00F47E0A">
      <w:pPr>
        <w:rPr>
          <w:i/>
        </w:rPr>
      </w:pPr>
      <w:r w:rsidRPr="00307A6E">
        <w:rPr>
          <w:i/>
        </w:rPr>
        <w:lastRenderedPageBreak/>
        <w:t>Table 7.8</w:t>
      </w:r>
      <w:r w:rsidR="003A4196">
        <w:rPr>
          <w:i/>
        </w:rPr>
        <w:t xml:space="preserve"> </w:t>
      </w:r>
      <w:r w:rsidR="003A4196" w:rsidRPr="003A4196">
        <w:rPr>
          <w:i/>
        </w:rPr>
        <w:t>Itching scores reported by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516F" w:rsidTr="00DB32A4">
        <w:tc>
          <w:tcPr>
            <w:tcW w:w="2394" w:type="dxa"/>
          </w:tcPr>
          <w:p w:rsidR="0072516F" w:rsidRPr="008B1FBC" w:rsidRDefault="0072516F" w:rsidP="0072516F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72516F" w:rsidRPr="008B1FBC" w:rsidRDefault="0072516F" w:rsidP="0072516F">
            <w:pPr>
              <w:jc w:val="center"/>
              <w:rPr>
                <w:b/>
              </w:rPr>
            </w:pPr>
            <w:r w:rsidRPr="008B1FBC">
              <w:rPr>
                <w:b/>
              </w:rPr>
              <w:t>Eye</w:t>
            </w:r>
          </w:p>
        </w:tc>
        <w:tc>
          <w:tcPr>
            <w:tcW w:w="2394" w:type="dxa"/>
          </w:tcPr>
          <w:p w:rsidR="0072516F" w:rsidRPr="008B1FBC" w:rsidRDefault="0072516F" w:rsidP="0072516F">
            <w:pPr>
              <w:jc w:val="center"/>
              <w:rPr>
                <w:b/>
              </w:rPr>
            </w:pPr>
          </w:p>
        </w:tc>
      </w:tr>
      <w:tr w:rsidR="0072516F" w:rsidTr="0072516F">
        <w:tc>
          <w:tcPr>
            <w:tcW w:w="2394" w:type="dxa"/>
          </w:tcPr>
          <w:p w:rsidR="0072516F" w:rsidRPr="008B1FBC" w:rsidRDefault="0072516F" w:rsidP="0072516F">
            <w:pPr>
              <w:jc w:val="center"/>
              <w:rPr>
                <w:b/>
              </w:rPr>
            </w:pPr>
            <w:r w:rsidRPr="008B1FBC">
              <w:rPr>
                <w:b/>
              </w:rPr>
              <w:t>Subject</w:t>
            </w:r>
          </w:p>
        </w:tc>
        <w:tc>
          <w:tcPr>
            <w:tcW w:w="2394" w:type="dxa"/>
          </w:tcPr>
          <w:p w:rsidR="0072516F" w:rsidRPr="008B1FBC" w:rsidRDefault="0072516F" w:rsidP="0072516F">
            <w:pPr>
              <w:jc w:val="center"/>
              <w:rPr>
                <w:b/>
              </w:rPr>
            </w:pPr>
            <w:r w:rsidRPr="008B1FBC">
              <w:rPr>
                <w:b/>
              </w:rPr>
              <w:t>L</w:t>
            </w:r>
          </w:p>
        </w:tc>
        <w:tc>
          <w:tcPr>
            <w:tcW w:w="2394" w:type="dxa"/>
          </w:tcPr>
          <w:p w:rsidR="0072516F" w:rsidRPr="008B1FBC" w:rsidRDefault="0072516F" w:rsidP="0072516F">
            <w:pPr>
              <w:jc w:val="center"/>
              <w:rPr>
                <w:b/>
              </w:rPr>
            </w:pPr>
            <w:r w:rsidRPr="008B1FBC">
              <w:rPr>
                <w:b/>
              </w:rPr>
              <w:t>R</w:t>
            </w:r>
          </w:p>
        </w:tc>
        <w:tc>
          <w:tcPr>
            <w:tcW w:w="2394" w:type="dxa"/>
          </w:tcPr>
          <w:p w:rsidR="0072516F" w:rsidRPr="008B1FBC" w:rsidRDefault="0072516F" w:rsidP="0072516F">
            <w:pPr>
              <w:jc w:val="center"/>
              <w:rPr>
                <w:b/>
                <w:vertAlign w:val="superscript"/>
              </w:rPr>
            </w:pPr>
            <w:r w:rsidRPr="008B1FBC">
              <w:rPr>
                <w:b/>
              </w:rPr>
              <w:t>Difference</w:t>
            </w:r>
            <w:r w:rsidRPr="008B1FBC">
              <w:rPr>
                <w:b/>
                <w:vertAlign w:val="superscript"/>
              </w:rPr>
              <w:t>*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-1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0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-2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-1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-2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0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-1</w:t>
            </w:r>
          </w:p>
        </w:tc>
      </w:tr>
      <w:tr w:rsidR="0072516F" w:rsidTr="0072516F"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Mean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2.60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2.80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-0.20</w:t>
            </w:r>
          </w:p>
        </w:tc>
      </w:tr>
      <w:tr w:rsidR="0072516F" w:rsidTr="0072516F">
        <w:tc>
          <w:tcPr>
            <w:tcW w:w="2394" w:type="dxa"/>
          </w:tcPr>
          <w:p w:rsidR="0072516F" w:rsidRPr="0072516F" w:rsidRDefault="0072516F" w:rsidP="0072516F">
            <w:pPr>
              <w:jc w:val="center"/>
              <w:rPr>
                <w:i/>
              </w:rPr>
            </w:pPr>
            <w:proofErr w:type="spellStart"/>
            <w:r w:rsidRPr="0072516F">
              <w:rPr>
                <w:i/>
              </w:rPr>
              <w:t>sd</w:t>
            </w:r>
            <w:proofErr w:type="spellEnd"/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1.17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1.03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1.55</w:t>
            </w:r>
          </w:p>
        </w:tc>
      </w:tr>
      <w:tr w:rsidR="0072516F" w:rsidTr="0072516F">
        <w:tc>
          <w:tcPr>
            <w:tcW w:w="2394" w:type="dxa"/>
          </w:tcPr>
          <w:p w:rsidR="0072516F" w:rsidRPr="0072516F" w:rsidRDefault="0072516F" w:rsidP="0072516F">
            <w:pPr>
              <w:jc w:val="center"/>
              <w:rPr>
                <w:i/>
              </w:rPr>
            </w:pPr>
            <w:r w:rsidRPr="0072516F">
              <w:rPr>
                <w:i/>
              </w:rPr>
              <w:t>N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72516F" w:rsidRDefault="0072516F" w:rsidP="0072516F">
            <w:pPr>
              <w:jc w:val="center"/>
            </w:pPr>
            <w:r>
              <w:t>10</w:t>
            </w:r>
          </w:p>
        </w:tc>
      </w:tr>
    </w:tbl>
    <w:p w:rsidR="0072516F" w:rsidRDefault="0072516F">
      <w:r>
        <w:t>*Itching score left eye – itching score right eye</w:t>
      </w:r>
    </w:p>
    <w:p w:rsidR="00C4358A" w:rsidRPr="005871F0" w:rsidRDefault="00C4358A">
      <w:pPr>
        <w:rPr>
          <w:highlight w:val="yellow"/>
        </w:rPr>
      </w:pPr>
      <w:r w:rsidRPr="005871F0">
        <w:rPr>
          <w:highlight w:val="yellow"/>
        </w:rPr>
        <w:t>7.71 What test can be used to test the hypothesis that the mean degree of itching is the same for active vs. placebo eyes?</w:t>
      </w:r>
    </w:p>
    <w:p w:rsidR="00C4358A" w:rsidRPr="005871F0" w:rsidRDefault="00C4358A">
      <w:pPr>
        <w:rPr>
          <w:highlight w:val="yellow"/>
        </w:rPr>
      </w:pPr>
      <w:r w:rsidRPr="005871F0">
        <w:rPr>
          <w:highlight w:val="yellow"/>
        </w:rPr>
        <w:t xml:space="preserve">9.38 Answer the question in Problem 7.71 using nonparametric methods. </w:t>
      </w:r>
    </w:p>
    <w:p w:rsidR="0072516F" w:rsidRDefault="00C4358A">
      <w:r w:rsidRPr="005871F0">
        <w:rPr>
          <w:highlight w:val="yellow"/>
        </w:rPr>
        <w:t xml:space="preserve">9.39 Implement the test suggested in </w:t>
      </w:r>
      <w:r w:rsidR="005871F0" w:rsidRPr="005871F0">
        <w:rPr>
          <w:highlight w:val="yellow"/>
        </w:rPr>
        <w:t>Problem 9.38, and report a two-</w:t>
      </w:r>
      <w:r w:rsidRPr="005871F0">
        <w:rPr>
          <w:highlight w:val="yellow"/>
        </w:rPr>
        <w:t>sided p- value.</w:t>
      </w:r>
    </w:p>
    <w:p w:rsidR="005871F0" w:rsidRDefault="005871F0"/>
    <w:p w:rsidR="00307A6E" w:rsidRPr="00307A6E" w:rsidRDefault="00307A6E">
      <w:pPr>
        <w:rPr>
          <w:u w:val="single"/>
        </w:rPr>
      </w:pPr>
      <w:r w:rsidRPr="00307A6E">
        <w:rPr>
          <w:u w:val="single"/>
        </w:rPr>
        <w:t>Diabetes</w:t>
      </w:r>
    </w:p>
    <w:p w:rsidR="00307A6E" w:rsidRDefault="00307A6E">
      <w:r w:rsidRPr="00307A6E">
        <w:t>Growth during adolescence among girls with diabetes has been shown to relate to consistency in taking insulin injections. A similar hypothesis was tested in adolescent boys ages 13– 17. Boys were seen at repeated visits approximately 90 days apart. Their weight and HgbA1c, a marker that</w:t>
      </w:r>
      <w:r>
        <w:t xml:space="preserve"> </w:t>
      </w:r>
      <w:r w:rsidRPr="00307A6E">
        <w:t>reflects consistency in taking insulin injections over the past 30 days, were measured at each visit. People with diabetes have a higher- than- normal Hg</w:t>
      </w:r>
      <w:r>
        <w:t>bA1c; the goal of insulin treat</w:t>
      </w:r>
      <w:r w:rsidRPr="00307A6E">
        <w:t>ment is to lower the HgbA1c level as much as possible. To look at the relationship between change in weight and change in HgbA1c, each</w:t>
      </w:r>
      <w:r>
        <w:t xml:space="preserve"> of 23 boys was ascertained dur</w:t>
      </w:r>
      <w:r w:rsidRPr="00307A6E">
        <w:t>ing one 90- day interval when HgbA1c change was min</w:t>
      </w:r>
      <w:r>
        <w:t>imal (</w:t>
      </w:r>
      <w:proofErr w:type="spellStart"/>
      <w:r>
        <w:t>i</w:t>
      </w:r>
      <w:proofErr w:type="spellEnd"/>
      <w:r>
        <w:t>. e., change of &lt; 1%) (</w:t>
      </w:r>
      <w:proofErr w:type="gramStart"/>
      <w:r w:rsidRPr="00307A6E">
        <w:t>control</w:t>
      </w:r>
      <w:proofErr w:type="gramEnd"/>
      <w:r w:rsidRPr="00307A6E">
        <w:t xml:space="preserve"> period) and during another 90- day interval when HgbA1c increased by = 1% ( lack-of- consistency period); this is a</w:t>
      </w:r>
      <w:r>
        <w:t xml:space="preserve"> fairly large increase, indicat</w:t>
      </w:r>
      <w:r w:rsidRPr="00307A6E">
        <w:t>ing lack of consistency in taking insulin injections. These data represent a subset of the data in DIABETES. DAT on the Companion Website. Weight change was compared between these intervals using the following measure:</w:t>
      </w:r>
    </w:p>
    <w:p w:rsidR="00307A6E" w:rsidRDefault="00307A6E">
      <w:r>
        <w:t xml:space="preserve">  </w:t>
      </w:r>
      <w:r>
        <w:rPr>
          <w:rFonts w:cstheme="minorHAnsi"/>
        </w:rPr>
        <w:t>∆</w:t>
      </w:r>
      <w:r w:rsidRPr="00307A6E">
        <w:t xml:space="preserve"> = (weight change, control period) – (weight change, lack- of- consistency period) </w:t>
      </w:r>
    </w:p>
    <w:p w:rsidR="0035516B" w:rsidRDefault="00307A6E">
      <w:r w:rsidRPr="00307A6E">
        <w:t xml:space="preserve">A frequency distribution of the data sorted in increasing order of </w:t>
      </w:r>
      <w:r>
        <w:rPr>
          <w:rFonts w:cstheme="minorHAnsi"/>
        </w:rPr>
        <w:t>∆</w:t>
      </w:r>
      <w:r w:rsidRPr="00307A6E">
        <w:t xml:space="preserve"> is shown in Table 9.13. Suppose we assume normality of the change scores in Table 9.13.</w:t>
      </w:r>
    </w:p>
    <w:p w:rsidR="00307A6E" w:rsidRPr="00307A6E" w:rsidRDefault="00307A6E">
      <w:pPr>
        <w:rPr>
          <w:i/>
        </w:rPr>
      </w:pPr>
      <w:r w:rsidRPr="00307A6E">
        <w:rPr>
          <w:i/>
        </w:rPr>
        <w:lastRenderedPageBreak/>
        <w:t xml:space="preserve">Table 9.13 </w:t>
      </w:r>
      <w:r w:rsidR="00D154C0" w:rsidRPr="00307A6E">
        <w:rPr>
          <w:i/>
        </w:rPr>
        <w:t>(Weight</w:t>
      </w:r>
      <w:r w:rsidRPr="00307A6E">
        <w:rPr>
          <w:i/>
        </w:rPr>
        <w:t xml:space="preserve"> change, control period) – </w:t>
      </w:r>
      <w:r w:rsidR="00D154C0" w:rsidRPr="00307A6E">
        <w:rPr>
          <w:i/>
        </w:rPr>
        <w:t>(weight</w:t>
      </w:r>
      <w:r w:rsidRPr="00307A6E">
        <w:rPr>
          <w:i/>
        </w:rPr>
        <w:t xml:space="preserve"> change, lack- of- consistency period) among 23 adolescent diabetic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</w:tblGrid>
      <w:tr w:rsidR="00605CEA" w:rsidTr="00C17C42">
        <w:tc>
          <w:tcPr>
            <w:tcW w:w="2880" w:type="dxa"/>
            <w:shd w:val="clear" w:color="auto" w:fill="D9D9D9" w:themeFill="background1" w:themeFillShade="D9"/>
          </w:tcPr>
          <w:p w:rsidR="00605CEA" w:rsidRPr="00605CEA" w:rsidRDefault="00605CEA" w:rsidP="00605CE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05CEA">
              <w:rPr>
                <w:i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:rsidR="00605CEA" w:rsidRPr="00605CEA" w:rsidRDefault="00605CEA" w:rsidP="00605CEA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605CEA">
              <w:rPr>
                <w:rFonts w:cstheme="minorHAnsi"/>
                <w:sz w:val="28"/>
                <w:szCs w:val="28"/>
              </w:rPr>
              <w:t>∆</w:t>
            </w:r>
            <w:proofErr w:type="spellStart"/>
            <w:r w:rsidRPr="00605CEA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-12.6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-10.3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-5.9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-5.4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-4.5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-2.7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-1.8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+0.3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+2.2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+3.5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+4.8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+5.4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+5.8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+6.0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+6.7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+9.6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+11.5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+12.2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+13.9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+14.2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+18.0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+18.6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+21.7</w:t>
            </w:r>
          </w:p>
        </w:tc>
      </w:tr>
      <w:tr w:rsidR="00605CEA" w:rsidTr="00605CEA">
        <w:tc>
          <w:tcPr>
            <w:tcW w:w="2880" w:type="dxa"/>
          </w:tcPr>
          <w:p w:rsidR="00605CEA" w:rsidRDefault="00605CEA" w:rsidP="00605CEA">
            <w:pPr>
              <w:jc w:val="center"/>
            </w:pPr>
            <w:r>
              <w:t>Mean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4.83</w:t>
            </w:r>
          </w:p>
        </w:tc>
      </w:tr>
      <w:tr w:rsidR="00605CEA" w:rsidTr="00605CEA">
        <w:tc>
          <w:tcPr>
            <w:tcW w:w="2880" w:type="dxa"/>
          </w:tcPr>
          <w:p w:rsidR="00605CEA" w:rsidRPr="00605CEA" w:rsidRDefault="00605CEA" w:rsidP="00605CEA">
            <w:pPr>
              <w:jc w:val="center"/>
              <w:rPr>
                <w:i/>
              </w:rPr>
            </w:pPr>
            <w:proofErr w:type="spellStart"/>
            <w:r w:rsidRPr="00605CEA">
              <w:rPr>
                <w:i/>
              </w:rPr>
              <w:t>sd</w:t>
            </w:r>
            <w:proofErr w:type="spellEnd"/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9.33</w:t>
            </w:r>
          </w:p>
        </w:tc>
      </w:tr>
      <w:tr w:rsidR="00605CEA" w:rsidTr="00605CEA">
        <w:tc>
          <w:tcPr>
            <w:tcW w:w="2880" w:type="dxa"/>
          </w:tcPr>
          <w:p w:rsidR="00605CEA" w:rsidRPr="00605CEA" w:rsidRDefault="00605CEA" w:rsidP="00605CEA">
            <w:pPr>
              <w:jc w:val="center"/>
              <w:rPr>
                <w:i/>
              </w:rPr>
            </w:pPr>
            <w:r w:rsidRPr="00605CEA">
              <w:rPr>
                <w:i/>
              </w:rPr>
              <w:t>n</w:t>
            </w:r>
          </w:p>
        </w:tc>
        <w:tc>
          <w:tcPr>
            <w:tcW w:w="2880" w:type="dxa"/>
          </w:tcPr>
          <w:p w:rsidR="00605CEA" w:rsidRDefault="00F628FA" w:rsidP="00605CEA">
            <w:pPr>
              <w:jc w:val="center"/>
            </w:pPr>
            <w:r>
              <w:t>23</w:t>
            </w:r>
          </w:p>
        </w:tc>
      </w:tr>
    </w:tbl>
    <w:p w:rsidR="00307A6E" w:rsidRDefault="00307A6E"/>
    <w:p w:rsidR="00307A6E" w:rsidRPr="00FC0F5E" w:rsidRDefault="00FC0F5E">
      <w:pPr>
        <w:rPr>
          <w:highlight w:val="yellow"/>
        </w:rPr>
      </w:pPr>
      <w:r w:rsidRPr="00FC0F5E">
        <w:rPr>
          <w:highlight w:val="yellow"/>
        </w:rPr>
        <w:t>9.47 What test can be used to compare weight change during the control period vs. weight change during the lack-of- consistency period?</w:t>
      </w:r>
    </w:p>
    <w:p w:rsidR="00FC0F5E" w:rsidRPr="00FC0F5E" w:rsidRDefault="00FC0F5E">
      <w:pPr>
        <w:rPr>
          <w:highlight w:val="yellow"/>
        </w:rPr>
      </w:pPr>
      <w:r w:rsidRPr="00FC0F5E">
        <w:rPr>
          <w:highlight w:val="yellow"/>
        </w:rPr>
        <w:t xml:space="preserve">9.49 Answer the question in Problem 9.47 if we are not willing to make the assumption of normality. </w:t>
      </w:r>
    </w:p>
    <w:p w:rsidR="00FC0F5E" w:rsidRDefault="00FC0F5E">
      <w:r w:rsidRPr="00FC0F5E">
        <w:rPr>
          <w:highlight w:val="yellow"/>
        </w:rPr>
        <w:t>9.50 Implement the test in Problem 9.49, and report a two-tailed p- value.</w:t>
      </w:r>
    </w:p>
    <w:p w:rsidR="00307A6E" w:rsidRDefault="00307A6E"/>
    <w:p w:rsidR="00F55E0D" w:rsidRPr="00F55E0D" w:rsidRDefault="00F55E0D">
      <w:pPr>
        <w:rPr>
          <w:u w:val="single"/>
        </w:rPr>
      </w:pPr>
      <w:r w:rsidRPr="00F55E0D">
        <w:rPr>
          <w:u w:val="single"/>
        </w:rPr>
        <w:t>Endocrinology</w:t>
      </w:r>
    </w:p>
    <w:p w:rsidR="00F55E0D" w:rsidRDefault="00F55E0D">
      <w:r w:rsidRPr="00F55E0D">
        <w:t xml:space="preserve">A study to assess the effect of a low- fat diet on estrogen metabolism recruited 6 healthy women ages 21– 32 [5]. The women were within 5% of their ideal body weight, were not participating in athletics, and were eating a typical American diet. For the first 4 weeks the women were fed a high- fat diet (40% </w:t>
      </w:r>
      <w:r w:rsidRPr="00F55E0D">
        <w:lastRenderedPageBreak/>
        <w:t xml:space="preserve">of total calories from fat). They were then switched to a low- fat diet (25% of calories from fat) for 2 months. During the follicular phase of their menstrual cycle (days 5– 7), each woman was given a sugar cube with </w:t>
      </w:r>
      <w:r w:rsidR="008B359B">
        <w:t>[</w:t>
      </w:r>
      <w:r w:rsidR="008B359B">
        <w:rPr>
          <w:vertAlign w:val="superscript"/>
        </w:rPr>
        <w:t>3</w:t>
      </w:r>
      <w:r w:rsidR="008B359B" w:rsidRPr="007F0830">
        <w:t>H</w:t>
      </w:r>
      <w:r w:rsidR="008B359B">
        <w:t>] E</w:t>
      </w:r>
      <w:r w:rsidR="008B359B">
        <w:rPr>
          <w:vertAlign w:val="subscript"/>
        </w:rPr>
        <w:t>2</w:t>
      </w:r>
      <w:r w:rsidR="008B359B">
        <w:t xml:space="preserve"> </w:t>
      </w:r>
      <w:r w:rsidR="007F0830" w:rsidRPr="00F55E0D">
        <w:t>(estradiol</w:t>
      </w:r>
      <w:r w:rsidRPr="00F55E0D">
        <w:t xml:space="preserve">). This was done once during the high- fat period and again after the woman had been eating the low-fat diet for 2 months. The percentage of orally administered </w:t>
      </w:r>
      <w:r w:rsidR="008B359B">
        <w:t>[</w:t>
      </w:r>
      <w:r w:rsidR="008B359B">
        <w:rPr>
          <w:vertAlign w:val="superscript"/>
        </w:rPr>
        <w:t>3</w:t>
      </w:r>
      <w:r w:rsidR="008B359B" w:rsidRPr="007F0830">
        <w:t>H</w:t>
      </w:r>
      <w:r w:rsidR="008B359B">
        <w:t xml:space="preserve">] </w:t>
      </w:r>
      <w:r w:rsidR="008B359B">
        <w:t>E</w:t>
      </w:r>
      <w:r w:rsidR="008B359B">
        <w:rPr>
          <w:vertAlign w:val="subscript"/>
        </w:rPr>
        <w:t>2</w:t>
      </w:r>
      <w:r w:rsidR="008B359B" w:rsidRPr="007F0830">
        <w:t xml:space="preserve"> </w:t>
      </w:r>
      <w:r w:rsidR="008B359B">
        <w:t>excreted in urine as 16</w:t>
      </w:r>
      <w:r w:rsidR="008B359B">
        <w:rPr>
          <w:rFonts w:cstheme="minorHAnsi"/>
        </w:rPr>
        <w:t>α</w:t>
      </w:r>
      <w:r w:rsidRPr="00F55E0D">
        <w:t>- hydroxylated glucoronides is given in Table 9.15.</w:t>
      </w:r>
    </w:p>
    <w:p w:rsidR="006E0CBC" w:rsidRPr="006E0CBC" w:rsidRDefault="007F0830">
      <w:pPr>
        <w:rPr>
          <w:i/>
          <w:vertAlign w:val="subscript"/>
        </w:rPr>
      </w:pPr>
      <w:r w:rsidRPr="006E0CBC">
        <w:rPr>
          <w:i/>
        </w:rPr>
        <w:t>Table 9.15 Percentage of orally administered [</w:t>
      </w:r>
      <w:r w:rsidRPr="006E0CBC">
        <w:rPr>
          <w:i/>
          <w:vertAlign w:val="superscript"/>
        </w:rPr>
        <w:t>3</w:t>
      </w:r>
      <w:r w:rsidRPr="006E0CBC">
        <w:rPr>
          <w:i/>
        </w:rPr>
        <w:t>H] E</w:t>
      </w:r>
      <w:r w:rsidRPr="006E0CBC">
        <w:rPr>
          <w:i/>
          <w:vertAlign w:val="subscript"/>
        </w:rPr>
        <w:t>2</w:t>
      </w:r>
      <w:r w:rsidRPr="006E0CBC">
        <w:rPr>
          <w:i/>
        </w:rPr>
        <w:t xml:space="preserve"> excreted in urine as </w:t>
      </w:r>
      <w:proofErr w:type="spellStart"/>
      <w:r w:rsidRPr="006E0CBC">
        <w:rPr>
          <w:i/>
        </w:rPr>
        <w:t>glucoronides</w:t>
      </w:r>
      <w:proofErr w:type="spellEnd"/>
      <w:r w:rsidRPr="006E0CBC">
        <w:rPr>
          <w:i/>
        </w:rPr>
        <w:t xml:space="preserve"> of 16</w:t>
      </w:r>
      <w:r w:rsidRPr="006E0CBC">
        <w:rPr>
          <w:rFonts w:cstheme="minorHAnsi"/>
          <w:i/>
        </w:rPr>
        <w:t>α</w:t>
      </w:r>
      <w:r w:rsidRPr="006E0CBC">
        <w:rPr>
          <w:i/>
        </w:rPr>
        <w:t>- OHE</w:t>
      </w:r>
      <w:r w:rsidRPr="006E0CBC">
        <w:rPr>
          <w:i/>
          <w:vertAlign w:val="sub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E0CBC" w:rsidTr="006E0CBC">
        <w:tc>
          <w:tcPr>
            <w:tcW w:w="2160" w:type="dxa"/>
            <w:shd w:val="clear" w:color="auto" w:fill="D9D9D9" w:themeFill="background1" w:themeFillShade="D9"/>
          </w:tcPr>
          <w:p w:rsidR="006E0CBC" w:rsidRDefault="006E0CBC" w:rsidP="006E0CBC">
            <w:pPr>
              <w:jc w:val="center"/>
            </w:pPr>
            <w:r>
              <w:t>Subject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E0CBC" w:rsidRDefault="006E0CBC" w:rsidP="006E0CBC">
            <w:pPr>
              <w:jc w:val="center"/>
            </w:pPr>
            <w:r>
              <w:t>High-fat diet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E0CBC" w:rsidRDefault="006E0CBC" w:rsidP="006E0CBC">
            <w:pPr>
              <w:jc w:val="center"/>
            </w:pPr>
            <w:r>
              <w:t>Low-fat diet</w:t>
            </w:r>
          </w:p>
        </w:tc>
      </w:tr>
      <w:tr w:rsidR="006E0CBC" w:rsidTr="006E0CBC">
        <w:tc>
          <w:tcPr>
            <w:tcW w:w="2160" w:type="dxa"/>
          </w:tcPr>
          <w:p w:rsidR="006E0CBC" w:rsidRDefault="006E0CBC" w:rsidP="006E0CBC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2.55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1.27</w:t>
            </w:r>
          </w:p>
        </w:tc>
      </w:tr>
      <w:tr w:rsidR="006E0CBC" w:rsidTr="006E0CBC">
        <w:tc>
          <w:tcPr>
            <w:tcW w:w="2160" w:type="dxa"/>
          </w:tcPr>
          <w:p w:rsidR="006E0CBC" w:rsidRDefault="006E0CBC" w:rsidP="006E0CBC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2.92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1.60</w:t>
            </w:r>
          </w:p>
        </w:tc>
      </w:tr>
      <w:tr w:rsidR="006E0CBC" w:rsidTr="006E0CBC">
        <w:tc>
          <w:tcPr>
            <w:tcW w:w="2160" w:type="dxa"/>
          </w:tcPr>
          <w:p w:rsidR="006E0CBC" w:rsidRDefault="006E0CBC" w:rsidP="006E0CB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1.71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0.53</w:t>
            </w:r>
          </w:p>
        </w:tc>
      </w:tr>
      <w:tr w:rsidR="006E0CBC" w:rsidTr="006E0CBC">
        <w:tc>
          <w:tcPr>
            <w:tcW w:w="2160" w:type="dxa"/>
          </w:tcPr>
          <w:p w:rsidR="006E0CBC" w:rsidRDefault="006E0CBC" w:rsidP="006E0CBC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4.00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1.02</w:t>
            </w:r>
          </w:p>
        </w:tc>
      </w:tr>
      <w:tr w:rsidR="006E0CBC" w:rsidTr="006E0CBC">
        <w:tc>
          <w:tcPr>
            <w:tcW w:w="2160" w:type="dxa"/>
          </w:tcPr>
          <w:p w:rsidR="006E0CBC" w:rsidRDefault="006E0CBC" w:rsidP="006E0CBC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0.77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0.74</w:t>
            </w:r>
          </w:p>
        </w:tc>
      </w:tr>
      <w:tr w:rsidR="006E0CBC" w:rsidTr="006E0CBC">
        <w:tc>
          <w:tcPr>
            <w:tcW w:w="2160" w:type="dxa"/>
          </w:tcPr>
          <w:p w:rsidR="006E0CBC" w:rsidRDefault="006E0CBC" w:rsidP="006E0CBC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1.03</w:t>
            </w:r>
          </w:p>
        </w:tc>
        <w:tc>
          <w:tcPr>
            <w:tcW w:w="2160" w:type="dxa"/>
          </w:tcPr>
          <w:p w:rsidR="006E0CBC" w:rsidRDefault="00305996" w:rsidP="006E0CBC">
            <w:pPr>
              <w:jc w:val="center"/>
            </w:pPr>
            <w:r>
              <w:t>0.67</w:t>
            </w:r>
          </w:p>
        </w:tc>
      </w:tr>
    </w:tbl>
    <w:p w:rsidR="00307A6E" w:rsidRDefault="00307A6E"/>
    <w:p w:rsidR="006D53C2" w:rsidRPr="00407540" w:rsidRDefault="006D53C2">
      <w:pPr>
        <w:rPr>
          <w:highlight w:val="yellow"/>
        </w:rPr>
      </w:pPr>
      <w:r w:rsidRPr="00407540">
        <w:rPr>
          <w:highlight w:val="yellow"/>
        </w:rPr>
        <w:t xml:space="preserve">9.63 What nonparametric test can be used to compare the </w:t>
      </w:r>
      <w:r w:rsidRPr="00407540">
        <w:rPr>
          <w:highlight w:val="yellow"/>
        </w:rPr>
        <w:t>16</w:t>
      </w:r>
      <w:r w:rsidRPr="00407540">
        <w:rPr>
          <w:rFonts w:cstheme="minorHAnsi"/>
          <w:highlight w:val="yellow"/>
        </w:rPr>
        <w:t>α</w:t>
      </w:r>
      <w:r w:rsidRPr="00407540">
        <w:rPr>
          <w:highlight w:val="yellow"/>
        </w:rPr>
        <w:t>- OHE</w:t>
      </w:r>
      <w:r w:rsidRPr="00407540">
        <w:rPr>
          <w:highlight w:val="yellow"/>
          <w:vertAlign w:val="subscript"/>
        </w:rPr>
        <w:t>1</w:t>
      </w:r>
      <w:r w:rsidRPr="00407540">
        <w:rPr>
          <w:highlight w:val="yellow"/>
        </w:rPr>
        <w:t xml:space="preserve"> percentages on a high- fat diet vs. a low- fat diet? </w:t>
      </w:r>
    </w:p>
    <w:p w:rsidR="005871F0" w:rsidRDefault="006D53C2">
      <w:r w:rsidRPr="00407540">
        <w:rPr>
          <w:highlight w:val="yellow"/>
        </w:rPr>
        <w:t>9.64 Perform the test in Problem 9.63 and report a p-value (two- tailed).</w:t>
      </w:r>
    </w:p>
    <w:p w:rsidR="007A53BF" w:rsidRDefault="007A53BF"/>
    <w:p w:rsidR="007A53BF" w:rsidRPr="007A53BF" w:rsidRDefault="007A53BF">
      <w:pPr>
        <w:rPr>
          <w:u w:val="single"/>
        </w:rPr>
      </w:pPr>
      <w:r w:rsidRPr="007A53BF">
        <w:rPr>
          <w:u w:val="single"/>
        </w:rPr>
        <w:t xml:space="preserve">Hypertension </w:t>
      </w:r>
    </w:p>
    <w:p w:rsidR="0072516F" w:rsidRDefault="007A53BF">
      <w:r w:rsidRPr="007A53BF">
        <w:t>The Update to the Task Force Report on Blood Pressure Control in Children [14]</w:t>
      </w:r>
      <w:r>
        <w:t xml:space="preserve"> reported the observed 90th per</w:t>
      </w:r>
      <w:r w:rsidRPr="007A53BF">
        <w:t>centile of SBP in single years of age from age 1 to 17 based</w:t>
      </w:r>
      <w:r>
        <w:t xml:space="preserve"> </w:t>
      </w:r>
      <w:r w:rsidRPr="007A53BF">
        <w:t>on prior studies. The data for boys of average height are given in Table 11.21.</w:t>
      </w:r>
    </w:p>
    <w:p w:rsidR="007A53BF" w:rsidRPr="007A53BF" w:rsidRDefault="007A53BF">
      <w:pPr>
        <w:rPr>
          <w:i/>
        </w:rPr>
      </w:pPr>
      <w:r w:rsidRPr="007A53BF">
        <w:rPr>
          <w:i/>
        </w:rPr>
        <w:t>Table 11.21 90th percentile of SBP in boys ages 1- 17 of average height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7A53BF" w:rsidTr="007A53BF">
        <w:tc>
          <w:tcPr>
            <w:tcW w:w="2160" w:type="dxa"/>
            <w:shd w:val="clear" w:color="auto" w:fill="D9D9D9" w:themeFill="background1" w:themeFillShade="D9"/>
          </w:tcPr>
          <w:p w:rsidR="007A53BF" w:rsidRDefault="00C46878" w:rsidP="007A53BF">
            <w:pPr>
              <w:jc w:val="center"/>
            </w:pPr>
            <w:r>
              <w:t xml:space="preserve">Age </w:t>
            </w:r>
            <w:r w:rsidRPr="00C46878">
              <w:rPr>
                <w:i/>
              </w:rPr>
              <w:t>(x)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A53BF" w:rsidRPr="00C46878" w:rsidRDefault="00C46878" w:rsidP="007A53BF">
            <w:pPr>
              <w:jc w:val="center"/>
            </w:pPr>
            <w:r>
              <w:t>SBP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C46878">
              <w:rPr>
                <w:i/>
              </w:rPr>
              <w:t>(y)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99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102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105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107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108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110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111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112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114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115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117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120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122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7A53BF" w:rsidRDefault="00CF696A" w:rsidP="007A53BF">
            <w:pPr>
              <w:jc w:val="center"/>
            </w:pPr>
            <w:r>
              <w:t>125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60" w:type="dxa"/>
          </w:tcPr>
          <w:p w:rsidR="007A53BF" w:rsidRDefault="00CF696A" w:rsidP="007A53BF">
            <w:pPr>
              <w:jc w:val="center"/>
            </w:pPr>
            <w:r>
              <w:t>127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7A53BF" w:rsidRDefault="00CF696A" w:rsidP="007A53BF">
            <w:pPr>
              <w:jc w:val="center"/>
            </w:pPr>
            <w:r>
              <w:t>130</w:t>
            </w:r>
          </w:p>
        </w:tc>
      </w:tr>
      <w:tr w:rsidR="007A53BF" w:rsidTr="007A53BF">
        <w:tc>
          <w:tcPr>
            <w:tcW w:w="2160" w:type="dxa"/>
          </w:tcPr>
          <w:p w:rsidR="007A53BF" w:rsidRDefault="001A64B1" w:rsidP="007A53BF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7A53BF" w:rsidRDefault="00CF696A" w:rsidP="007A53BF">
            <w:pPr>
              <w:jc w:val="center"/>
            </w:pPr>
            <w:r>
              <w:t>132</w:t>
            </w:r>
          </w:p>
        </w:tc>
      </w:tr>
    </w:tbl>
    <w:p w:rsidR="0072516F" w:rsidRPr="00C46878" w:rsidRDefault="00C46878">
      <w:r>
        <w:rPr>
          <w:vertAlign w:val="superscript"/>
        </w:rPr>
        <w:t>*</w:t>
      </w:r>
      <w:r>
        <w:t>90</w:t>
      </w:r>
      <w:r w:rsidRPr="00C46878">
        <w:rPr>
          <w:vertAlign w:val="superscript"/>
        </w:rPr>
        <w:t>th</w:t>
      </w:r>
      <w:r>
        <w:t xml:space="preserve"> percentile for each 1-year age group.</w:t>
      </w:r>
    </w:p>
    <w:p w:rsidR="005F33A3" w:rsidRPr="00E178E1" w:rsidRDefault="005F33A3">
      <w:pPr>
        <w:rPr>
          <w:highlight w:val="yellow"/>
        </w:rPr>
      </w:pPr>
      <w:r w:rsidRPr="00E178E1">
        <w:rPr>
          <w:highlight w:val="yellow"/>
        </w:rPr>
        <w:t xml:space="preserve">11.20 What is the predicted blood pressure for an average 17- year- old boy as estimated from the regression line? </w:t>
      </w:r>
    </w:p>
    <w:p w:rsidR="0072516F" w:rsidRDefault="005F33A3">
      <w:r w:rsidRPr="00E178E1">
        <w:rPr>
          <w:highlight w:val="yellow"/>
        </w:rPr>
        <w:t>11.21 What is the standard error of the estimate in Problem 11.20?</w:t>
      </w:r>
    </w:p>
    <w:p w:rsidR="0072516F" w:rsidRDefault="0072516F"/>
    <w:p w:rsidR="00E178E1" w:rsidRPr="00E178E1" w:rsidRDefault="00E178E1">
      <w:pPr>
        <w:rPr>
          <w:u w:val="single"/>
        </w:rPr>
      </w:pPr>
      <w:r w:rsidRPr="00E178E1">
        <w:rPr>
          <w:u w:val="single"/>
        </w:rPr>
        <w:t>Pediatrics, Endocrinology</w:t>
      </w:r>
    </w:p>
    <w:p w:rsidR="00E178E1" w:rsidRDefault="00E178E1">
      <w:r w:rsidRPr="00E178E1">
        <w:t>Transient hypothyroxinemia, a common finding in premature infants, is not thought to have long- term consequences or to require treatment.</w:t>
      </w:r>
      <w:r>
        <w:t xml:space="preserve"> </w:t>
      </w:r>
      <w:r w:rsidRPr="00E178E1">
        <w:t>A study was performed to investigate whether hypothyroxinemia in premature infants is a cause of subsequent motor and</w:t>
      </w:r>
      <w:r>
        <w:t xml:space="preserve"> cognitive abnormalities [</w:t>
      </w:r>
      <w:r w:rsidRPr="00E178E1">
        <w:t>17]. Blood thyroxine values were obtained on routine screening in the first week of life from 536 infants who weighed 2000 g or less at birth and were born at 33 weeks gestation or earlier. The data in Table 11.23 were presented concerning the relationship between mean thyroxine level and gestational age.</w:t>
      </w:r>
    </w:p>
    <w:p w:rsidR="00E178E1" w:rsidRPr="00DD1FF7" w:rsidRDefault="00DD1FF7">
      <w:pPr>
        <w:rPr>
          <w:i/>
        </w:rPr>
      </w:pPr>
      <w:r w:rsidRPr="00DD1FF7">
        <w:rPr>
          <w:i/>
        </w:rPr>
        <w:t>Table 11.23 Relationship between mean thyroxine level and gestational age among 536 premature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DD1FF7" w:rsidTr="00DD1FF7">
        <w:tc>
          <w:tcPr>
            <w:tcW w:w="2160" w:type="dxa"/>
            <w:shd w:val="clear" w:color="auto" w:fill="D9D9D9" w:themeFill="background1" w:themeFillShade="D9"/>
          </w:tcPr>
          <w:p w:rsidR="00683574" w:rsidRDefault="00683574" w:rsidP="00683574">
            <w:pPr>
              <w:jc w:val="center"/>
            </w:pPr>
            <w:r w:rsidRPr="00683574">
              <w:rPr>
                <w:i/>
              </w:rPr>
              <w:t>(x)</w:t>
            </w:r>
            <w:r>
              <w:t xml:space="preserve"> Gestational age (weeks)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D1FF7" w:rsidRDefault="00683574" w:rsidP="00DD1FF7">
            <w:pPr>
              <w:jc w:val="center"/>
            </w:pPr>
            <w:r w:rsidRPr="001F5119">
              <w:rPr>
                <w:i/>
              </w:rPr>
              <w:t xml:space="preserve">(y) </w:t>
            </w:r>
            <w:r>
              <w:t>Mean thyroxine level (</w:t>
            </w:r>
            <w:r>
              <w:rPr>
                <w:rFonts w:cstheme="minorHAnsi"/>
              </w:rPr>
              <w:t>µ</w:t>
            </w:r>
            <w:r>
              <w:t>g/dl)</w:t>
            </w:r>
            <w:bookmarkStart w:id="0" w:name="_GoBack"/>
            <w:bookmarkEnd w:id="0"/>
          </w:p>
        </w:tc>
      </w:tr>
      <w:tr w:rsidR="00DD1FF7" w:rsidTr="00DD1FF7">
        <w:tc>
          <w:tcPr>
            <w:tcW w:w="2160" w:type="dxa"/>
          </w:tcPr>
          <w:p w:rsidR="00DD1FF7" w:rsidRDefault="00B91B31" w:rsidP="00DD1FF7">
            <w:pPr>
              <w:jc w:val="center"/>
            </w:pPr>
            <w:r>
              <w:rPr>
                <w:rFonts w:cstheme="minorHAnsi"/>
              </w:rPr>
              <w:t>≤</w:t>
            </w:r>
            <w:r>
              <w:t>24*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6.5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7.1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26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7.0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7.1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7.2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29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7.1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8.1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31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8.7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32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9.5</w:t>
            </w:r>
          </w:p>
        </w:tc>
      </w:tr>
      <w:tr w:rsidR="00DD1FF7" w:rsidTr="00DD1FF7"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33</w:t>
            </w:r>
          </w:p>
        </w:tc>
        <w:tc>
          <w:tcPr>
            <w:tcW w:w="2160" w:type="dxa"/>
          </w:tcPr>
          <w:p w:rsidR="00DD1FF7" w:rsidRDefault="009543C8" w:rsidP="00DD1FF7">
            <w:pPr>
              <w:jc w:val="center"/>
            </w:pPr>
            <w:r>
              <w:t>10.1</w:t>
            </w:r>
          </w:p>
        </w:tc>
      </w:tr>
    </w:tbl>
    <w:p w:rsidR="00E178E1" w:rsidRDefault="001C5707">
      <w:r>
        <w:t>*Treated as 24 in subsequent analyses</w:t>
      </w:r>
    </w:p>
    <w:p w:rsidR="00553C6B" w:rsidRDefault="00553C6B">
      <w:r w:rsidRPr="00553C6B">
        <w:rPr>
          <w:highlight w:val="yellow"/>
        </w:rPr>
        <w:t>11.49 Is there a significant association between mean thyroxine level and gestational age? Report a p- value.</w:t>
      </w:r>
    </w:p>
    <w:p w:rsidR="00E178E1" w:rsidRDefault="00E178E1"/>
    <w:p w:rsidR="00AF21CE" w:rsidRPr="00AF21CE" w:rsidRDefault="00AF21CE">
      <w:pPr>
        <w:rPr>
          <w:u w:val="single"/>
        </w:rPr>
      </w:pPr>
      <w:r w:rsidRPr="00AF21CE">
        <w:rPr>
          <w:u w:val="single"/>
        </w:rPr>
        <w:t>Endocrinology</w:t>
      </w:r>
    </w:p>
    <w:p w:rsidR="00E178E1" w:rsidRDefault="00AF21CE">
      <w:r w:rsidRPr="00AF21CE">
        <w:lastRenderedPageBreak/>
        <w:t xml:space="preserve">A 65- year- old woman with low bone density in 1992 was treated with alendronate </w:t>
      </w:r>
      <w:r>
        <w:t>through the year 1999.  Bone den</w:t>
      </w:r>
      <w:r w:rsidRPr="00AF21CE">
        <w:t xml:space="preserve">sity was measured irregularly over this period. </w:t>
      </w:r>
      <w:r>
        <w:t xml:space="preserve"> </w:t>
      </w:r>
      <w:r w:rsidRPr="00AF21CE">
        <w:t>The results for change in bone density of the lumbar spine are shown in Table 11.26.</w:t>
      </w:r>
    </w:p>
    <w:p w:rsidR="00AF21CE" w:rsidRPr="0007039D" w:rsidRDefault="0007039D">
      <w:pPr>
        <w:rPr>
          <w:i/>
        </w:rPr>
      </w:pPr>
      <w:r w:rsidRPr="0007039D">
        <w:rPr>
          <w:i/>
        </w:rPr>
        <w:t>Table 11.26 Change in bone density, lumbar spine,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BA5121" w:rsidTr="00BA5121">
        <w:tc>
          <w:tcPr>
            <w:tcW w:w="1728" w:type="dxa"/>
            <w:shd w:val="clear" w:color="auto" w:fill="D9D9D9" w:themeFill="background1" w:themeFillShade="D9"/>
          </w:tcPr>
          <w:p w:rsidR="00BA5121" w:rsidRPr="006153AB" w:rsidRDefault="006C2594" w:rsidP="00BA5121">
            <w:pPr>
              <w:jc w:val="center"/>
              <w:rPr>
                <w:b/>
              </w:rPr>
            </w:pPr>
            <w:r w:rsidRPr="006153AB">
              <w:rPr>
                <w:b/>
              </w:rPr>
              <w:t>Visit (</w:t>
            </w:r>
            <w:proofErr w:type="spellStart"/>
            <w:r w:rsidRPr="006153AB">
              <w:rPr>
                <w:b/>
              </w:rPr>
              <w:t>i</w:t>
            </w:r>
            <w:proofErr w:type="spellEnd"/>
            <w:r w:rsidRPr="006153AB">
              <w:rPr>
                <w:b/>
              </w:rPr>
              <w:t>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BA5121" w:rsidRPr="006153AB" w:rsidRDefault="006C2594" w:rsidP="00BA5121">
            <w:pPr>
              <w:jc w:val="center"/>
              <w:rPr>
                <w:b/>
              </w:rPr>
            </w:pPr>
            <w:r w:rsidRPr="006153AB">
              <w:rPr>
                <w:b/>
              </w:rPr>
              <w:t xml:space="preserve">Time from baseline (months) </w:t>
            </w:r>
            <w:r w:rsidRPr="006153AB">
              <w:rPr>
                <w:b/>
                <w:i/>
              </w:rPr>
              <w:t>(</w:t>
            </w:r>
            <w:proofErr w:type="spellStart"/>
            <w:r w:rsidRPr="006153AB">
              <w:rPr>
                <w:b/>
                <w:i/>
              </w:rPr>
              <w:t>t</w:t>
            </w:r>
            <w:r w:rsidRPr="006153AB">
              <w:rPr>
                <w:b/>
                <w:i/>
                <w:vertAlign w:val="subscript"/>
              </w:rPr>
              <w:t>i</w:t>
            </w:r>
            <w:proofErr w:type="spellEnd"/>
            <w:r w:rsidRPr="006153AB">
              <w:rPr>
                <w:b/>
                <w:i/>
              </w:rPr>
              <w:t>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BA5121" w:rsidRPr="006153AB" w:rsidRDefault="006153AB" w:rsidP="00BA5121">
            <w:pPr>
              <w:jc w:val="center"/>
              <w:rPr>
                <w:b/>
              </w:rPr>
            </w:pPr>
            <w:r w:rsidRPr="006153AB">
              <w:rPr>
                <w:b/>
              </w:rPr>
              <w:t>Bone density, lumbar spine (g/cm</w:t>
            </w:r>
            <w:r w:rsidRPr="006153AB">
              <w:rPr>
                <w:b/>
                <w:vertAlign w:val="superscript"/>
              </w:rPr>
              <w:t>2</w:t>
            </w:r>
            <w:r w:rsidRPr="006153AB">
              <w:rPr>
                <w:b/>
              </w:rPr>
              <w:t xml:space="preserve">) </w:t>
            </w:r>
            <w:r w:rsidRPr="006153AB">
              <w:rPr>
                <w:b/>
                <w:i/>
              </w:rPr>
              <w:t>(x</w:t>
            </w:r>
            <w:r w:rsidRPr="006153AB">
              <w:rPr>
                <w:b/>
                <w:i/>
                <w:vertAlign w:val="subscript"/>
              </w:rPr>
              <w:t>i</w:t>
            </w:r>
            <w:r w:rsidRPr="006153AB">
              <w:rPr>
                <w:b/>
                <w:i/>
              </w:rPr>
              <w:t>)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0.797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0.806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18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0.817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48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0.825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64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0.837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66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0.841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79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0.886</w:t>
            </w:r>
          </w:p>
        </w:tc>
      </w:tr>
      <w:tr w:rsidR="00BA5121" w:rsidTr="00BA5121"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BA5121" w:rsidRDefault="00970449" w:rsidP="00BA5121">
            <w:pPr>
              <w:jc w:val="center"/>
            </w:pPr>
            <w:r>
              <w:t>92</w:t>
            </w:r>
          </w:p>
        </w:tc>
        <w:tc>
          <w:tcPr>
            <w:tcW w:w="1728" w:type="dxa"/>
          </w:tcPr>
          <w:p w:rsidR="00BA5121" w:rsidRDefault="009112CC" w:rsidP="00BA5121">
            <w:pPr>
              <w:jc w:val="center"/>
            </w:pPr>
            <w:r>
              <w:t>0.881</w:t>
            </w:r>
          </w:p>
        </w:tc>
      </w:tr>
    </w:tbl>
    <w:p w:rsidR="00E178E1" w:rsidRDefault="00E178E1"/>
    <w:p w:rsidR="00E178E1" w:rsidRDefault="00A76ACC">
      <w:r w:rsidRPr="00A76ACC">
        <w:rPr>
          <w:highlight w:val="yellow"/>
        </w:rPr>
        <w:t>11.77 The normal change in bone density over time from age 40 to age 80 is a decrease of 0.15 g/ cm</w:t>
      </w:r>
      <w:r w:rsidRPr="00A76ACC">
        <w:rPr>
          <w:highlight w:val="yellow"/>
          <w:vertAlign w:val="superscript"/>
        </w:rPr>
        <w:t>2</w:t>
      </w:r>
      <w:r w:rsidRPr="00A76ACC">
        <w:rPr>
          <w:highlight w:val="yellow"/>
        </w:rPr>
        <w:t>. Does the rate of change in this woman differ significantly from the expected age-related change?</w:t>
      </w:r>
    </w:p>
    <w:p w:rsidR="00E178E1" w:rsidRDefault="00E178E1"/>
    <w:p w:rsidR="00B07312" w:rsidRPr="00B07312" w:rsidRDefault="00B07312">
      <w:pPr>
        <w:rPr>
          <w:u w:val="single"/>
        </w:rPr>
      </w:pPr>
      <w:r w:rsidRPr="00B07312">
        <w:rPr>
          <w:u w:val="single"/>
        </w:rPr>
        <w:t>Ophthalmology</w:t>
      </w:r>
    </w:p>
    <w:p w:rsidR="00B07312" w:rsidRDefault="00B07312">
      <w:r w:rsidRPr="00B07312">
        <w:t>Retinitis pigmentosa (RP) is a hereditary ocular disease in which patches of pigment appear on the retina, potentially resulting in substantial vi</w:t>
      </w:r>
      <w:r>
        <w:t>sion loss and in some cases com</w:t>
      </w:r>
      <w:r w:rsidRPr="00B07312">
        <w:t xml:space="preserve">plete blindness. </w:t>
      </w:r>
      <w:r>
        <w:t xml:space="preserve"> </w:t>
      </w:r>
      <w:r w:rsidRPr="00B07312">
        <w:t xml:space="preserve">An important issue is how fast the subjects decline. </w:t>
      </w:r>
      <w:r>
        <w:t xml:space="preserve"> </w:t>
      </w:r>
      <w:r w:rsidRPr="00B07312">
        <w:t>Visual field is an important measure of area of vision which is measured in degree</w:t>
      </w:r>
      <w:r>
        <w:rPr>
          <w:vertAlign w:val="superscript"/>
        </w:rPr>
        <w:t>2</w:t>
      </w:r>
      <w:r w:rsidRPr="00B07312">
        <w:t>.</w:t>
      </w:r>
      <w:r>
        <w:t xml:space="preserve"> </w:t>
      </w:r>
      <w:r w:rsidRPr="00B07312">
        <w:t xml:space="preserve"> A visual field area for a nor-mal person is around 11,000 degree</w:t>
      </w:r>
      <w:r>
        <w:rPr>
          <w:vertAlign w:val="superscript"/>
        </w:rPr>
        <w:t>2</w:t>
      </w:r>
      <w:r w:rsidRPr="00B07312">
        <w:t xml:space="preserve">. </w:t>
      </w:r>
      <w:r w:rsidR="000834D2">
        <w:t xml:space="preserve"> </w:t>
      </w:r>
      <w:r w:rsidRPr="00B07312">
        <w:t xml:space="preserve">The longitudinal data in Table 11.31 were provided by an individual patient. </w:t>
      </w:r>
      <w:r w:rsidR="000834D2">
        <w:t xml:space="preserve"> </w:t>
      </w:r>
      <w:r w:rsidRPr="00B07312">
        <w:t xml:space="preserve">Suppose the rate of change of </w:t>
      </w:r>
      <w:proofErr w:type="spellStart"/>
      <w:r w:rsidRPr="000834D2">
        <w:rPr>
          <w:i/>
        </w:rPr>
        <w:t>ln</w:t>
      </w:r>
      <w:proofErr w:type="spellEnd"/>
      <w:r w:rsidRPr="00B07312">
        <w:t xml:space="preserve"> </w:t>
      </w:r>
      <w:r w:rsidR="000834D2" w:rsidRPr="00B07312">
        <w:t>(visual</w:t>
      </w:r>
      <w:r w:rsidRPr="00B07312">
        <w:t xml:space="preserve"> field) is a linear function of follow- up time.</w:t>
      </w:r>
    </w:p>
    <w:p w:rsidR="000834D2" w:rsidRPr="00F65D7C" w:rsidRDefault="00F65D7C">
      <w:pPr>
        <w:rPr>
          <w:i/>
        </w:rPr>
      </w:pPr>
      <w:r w:rsidRPr="00F65D7C">
        <w:rPr>
          <w:i/>
        </w:rPr>
        <w:t>Table 11.31 Longitudinal visual field data for one RP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78"/>
        <w:gridCol w:w="2421"/>
        <w:gridCol w:w="2393"/>
      </w:tblGrid>
      <w:tr w:rsidR="00607894" w:rsidTr="00607894">
        <w:tc>
          <w:tcPr>
            <w:tcW w:w="2592" w:type="dxa"/>
            <w:shd w:val="clear" w:color="auto" w:fill="D9D9D9" w:themeFill="background1" w:themeFillShade="D9"/>
          </w:tcPr>
          <w:p w:rsidR="00607894" w:rsidRDefault="00607894" w:rsidP="00607894">
            <w:pPr>
              <w:jc w:val="center"/>
            </w:pPr>
            <w:r>
              <w:t>Visit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607894" w:rsidRDefault="00607894" w:rsidP="00607894">
            <w:pPr>
              <w:jc w:val="center"/>
            </w:pPr>
            <w:r>
              <w:t>Time (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607894" w:rsidRDefault="00607894" w:rsidP="00607894">
            <w:pPr>
              <w:jc w:val="center"/>
            </w:pPr>
            <w:r>
              <w:t>Visual field area (degree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607894" w:rsidRPr="00607894" w:rsidRDefault="00607894" w:rsidP="00607894">
            <w:pPr>
              <w:jc w:val="center"/>
              <w:rPr>
                <w:i/>
              </w:rPr>
            </w:pPr>
            <w:r w:rsidRPr="00607894">
              <w:rPr>
                <w:i/>
              </w:rPr>
              <w:t xml:space="preserve">In </w:t>
            </w:r>
          </w:p>
          <w:p w:rsidR="00607894" w:rsidRDefault="00607894" w:rsidP="00607894">
            <w:pPr>
              <w:jc w:val="center"/>
            </w:pPr>
            <w:r>
              <w:t>(visual field area)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0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3059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8.03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3053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8.02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3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1418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7.26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4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3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1692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7.43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5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4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1978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7.59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6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5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1567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7.36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7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6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1919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7.56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8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7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1998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7.60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9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11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1648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7.41</w:t>
            </w:r>
          </w:p>
        </w:tc>
      </w:tr>
      <w:tr w:rsidR="00607894" w:rsidTr="00607894"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10</w:t>
            </w:r>
          </w:p>
        </w:tc>
        <w:tc>
          <w:tcPr>
            <w:tcW w:w="2592" w:type="dxa"/>
          </w:tcPr>
          <w:p w:rsidR="00607894" w:rsidRDefault="004F7EFB" w:rsidP="00607894">
            <w:pPr>
              <w:jc w:val="center"/>
            </w:pPr>
            <w:r>
              <w:t>13</w:t>
            </w:r>
          </w:p>
        </w:tc>
        <w:tc>
          <w:tcPr>
            <w:tcW w:w="2592" w:type="dxa"/>
          </w:tcPr>
          <w:p w:rsidR="00607894" w:rsidRDefault="00BF2BF9" w:rsidP="00607894">
            <w:pPr>
              <w:jc w:val="center"/>
            </w:pPr>
            <w:r>
              <w:t>1721</w:t>
            </w:r>
          </w:p>
        </w:tc>
        <w:tc>
          <w:tcPr>
            <w:tcW w:w="2592" w:type="dxa"/>
          </w:tcPr>
          <w:p w:rsidR="00607894" w:rsidRDefault="009F107D" w:rsidP="00607894">
            <w:pPr>
              <w:jc w:val="center"/>
            </w:pPr>
            <w:r>
              <w:t>7.45</w:t>
            </w:r>
          </w:p>
        </w:tc>
      </w:tr>
      <w:tr w:rsidR="00607894" w:rsidTr="00607894">
        <w:tc>
          <w:tcPr>
            <w:tcW w:w="2592" w:type="dxa"/>
            <w:tcBorders>
              <w:bottom w:val="single" w:sz="4" w:space="0" w:color="auto"/>
            </w:tcBorders>
          </w:tcPr>
          <w:p w:rsidR="00607894" w:rsidRDefault="004F7EFB" w:rsidP="00607894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07894" w:rsidRDefault="004F7EFB" w:rsidP="00607894">
            <w:pPr>
              <w:jc w:val="center"/>
            </w:pPr>
            <w:r>
              <w:t>15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07894" w:rsidRDefault="00BF2BF9" w:rsidP="00607894">
            <w:pPr>
              <w:jc w:val="center"/>
            </w:pPr>
            <w:r>
              <w:t>1264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07894" w:rsidRDefault="009F107D" w:rsidP="00607894">
            <w:pPr>
              <w:jc w:val="center"/>
            </w:pPr>
            <w:r>
              <w:t>7.14</w:t>
            </w:r>
          </w:p>
        </w:tc>
      </w:tr>
      <w:tr w:rsidR="00607894" w:rsidTr="00607894"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mean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6.09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1938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7.532</w:t>
            </w:r>
          </w:p>
        </w:tc>
      </w:tr>
      <w:tr w:rsidR="00607894" w:rsidTr="00607894">
        <w:tc>
          <w:tcPr>
            <w:tcW w:w="2592" w:type="dxa"/>
            <w:shd w:val="clear" w:color="auto" w:fill="DBE5F1" w:themeFill="accent1" w:themeFillTint="33"/>
          </w:tcPr>
          <w:p w:rsidR="00607894" w:rsidRPr="009F107D" w:rsidRDefault="009F107D" w:rsidP="00607894">
            <w:pPr>
              <w:jc w:val="center"/>
              <w:rPr>
                <w:i/>
              </w:rPr>
            </w:pPr>
            <w:proofErr w:type="spellStart"/>
            <w:r w:rsidRPr="009F107D">
              <w:rPr>
                <w:i/>
              </w:rPr>
              <w:t>sd</w:t>
            </w:r>
            <w:proofErr w:type="spellEnd"/>
          </w:p>
        </w:tc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4.97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597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607894" w:rsidRDefault="009F107D" w:rsidP="00607894">
            <w:pPr>
              <w:jc w:val="center"/>
            </w:pPr>
            <w:r>
              <w:t>0.280</w:t>
            </w:r>
          </w:p>
        </w:tc>
      </w:tr>
    </w:tbl>
    <w:p w:rsidR="00EE52EA" w:rsidRDefault="00EE52EA">
      <w:pPr>
        <w:rPr>
          <w:highlight w:val="yellow"/>
        </w:rPr>
      </w:pPr>
    </w:p>
    <w:p w:rsidR="00E178E1" w:rsidRDefault="00616926">
      <w:r w:rsidRPr="00616926">
        <w:rPr>
          <w:highlight w:val="yellow"/>
        </w:rPr>
        <w:t>11.102 What does the intercept mean in this context? What is the estimated % decline in visual field per year?</w:t>
      </w:r>
    </w:p>
    <w:p w:rsidR="00506EBF" w:rsidRDefault="00506EBF">
      <w:pPr>
        <w:rPr>
          <w:u w:val="single"/>
        </w:rPr>
      </w:pPr>
    </w:p>
    <w:p w:rsidR="005F2EBB" w:rsidRPr="005F2EBB" w:rsidRDefault="005F2EBB">
      <w:pPr>
        <w:rPr>
          <w:u w:val="single"/>
        </w:rPr>
      </w:pPr>
      <w:r w:rsidRPr="005F2EBB">
        <w:rPr>
          <w:u w:val="single"/>
        </w:rPr>
        <w:t>Nutrition</w:t>
      </w:r>
    </w:p>
    <w:p w:rsidR="00E178E1" w:rsidRPr="004D2515" w:rsidRDefault="005F2EBB">
      <w:r w:rsidRPr="005F2EBB">
        <w:t xml:space="preserve">The assessment of diet is an important exposure for many disease outcomes. </w:t>
      </w:r>
      <w:r>
        <w:t xml:space="preserve"> </w:t>
      </w:r>
      <w:r w:rsidRPr="005F2EBB">
        <w:t xml:space="preserve">However, there is often a lot of imprecision in dietary recall. </w:t>
      </w:r>
      <w:r>
        <w:t xml:space="preserve"> </w:t>
      </w:r>
      <w:r w:rsidRPr="005F2EBB">
        <w:t xml:space="preserve">In one study, 70- to 79- year- old women were asked about the preschool diet of their children (ages 2- 4) using a food frequency questionnaire (FFQ). </w:t>
      </w:r>
      <w:r>
        <w:t xml:space="preserve"> </w:t>
      </w:r>
      <w:r w:rsidRPr="005F2EBB">
        <w:t xml:space="preserve">A unique aspect of the study is that simultaneous diet record data exist on the same children recorded in real time by their mothers when they were ages 2- 4 and their mothers were 20 to 40 years old. </w:t>
      </w:r>
      <w:r>
        <w:t xml:space="preserve"> </w:t>
      </w:r>
      <w:r w:rsidRPr="005F2EBB">
        <w:t>The data in Table 11.40 were available on average servings of margarine per week.</w:t>
      </w:r>
      <w:r w:rsidR="004D2515">
        <w:t xml:space="preserve">  </w:t>
      </w:r>
      <w:r w:rsidR="004D2515" w:rsidRPr="004D2515">
        <w:t>The Pearson correlation</w:t>
      </w:r>
      <w:r w:rsidR="004D2515">
        <w:t xml:space="preserve"> between </w:t>
      </w:r>
      <w:proofErr w:type="gramStart"/>
      <w:r w:rsidR="004D2515">
        <w:t>intake</w:t>
      </w:r>
      <w:proofErr w:type="gramEnd"/>
      <w:r w:rsidR="004D2515">
        <w:t xml:space="preserve"> from the two re</w:t>
      </w:r>
      <w:r w:rsidR="004D2515" w:rsidRPr="004D2515">
        <w:t xml:space="preserve">cording methods was 0.448. </w:t>
      </w:r>
      <w:r w:rsidR="004D2515">
        <w:t xml:space="preserve"> </w:t>
      </w:r>
      <w:r w:rsidR="004D2515" w:rsidRPr="004D2515">
        <w:t>Assume that FFQ and DR margarine intake are normally distributed.</w:t>
      </w:r>
    </w:p>
    <w:p w:rsidR="005F2EBB" w:rsidRPr="002132BB" w:rsidRDefault="002132BB">
      <w:pPr>
        <w:rPr>
          <w:i/>
        </w:rPr>
      </w:pPr>
      <w:r w:rsidRPr="002132BB">
        <w:rPr>
          <w:i/>
        </w:rPr>
        <w:t>Table 11.40 Margarine intake assessed by two different recording methods (servings per week, [n = 12])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506EBF" w:rsidTr="00506EBF">
        <w:tc>
          <w:tcPr>
            <w:tcW w:w="2160" w:type="dxa"/>
            <w:shd w:val="clear" w:color="auto" w:fill="D9D9D9" w:themeFill="background1" w:themeFillShade="D9"/>
          </w:tcPr>
          <w:p w:rsidR="00506EBF" w:rsidRPr="00506EBF" w:rsidRDefault="00506EBF" w:rsidP="00506EBF">
            <w:pPr>
              <w:jc w:val="center"/>
              <w:rPr>
                <w:b/>
              </w:rPr>
            </w:pPr>
            <w:r w:rsidRPr="00506EBF">
              <w:rPr>
                <w:b/>
              </w:rPr>
              <w:t>ID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06EBF" w:rsidRPr="00506EBF" w:rsidRDefault="00506EBF" w:rsidP="00506EBF">
            <w:pPr>
              <w:jc w:val="center"/>
              <w:rPr>
                <w:b/>
              </w:rPr>
            </w:pPr>
            <w:r w:rsidRPr="00506EBF">
              <w:rPr>
                <w:b/>
              </w:rPr>
              <w:t>FFQ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06EBF" w:rsidRPr="00506EBF" w:rsidRDefault="00506EBF" w:rsidP="00506EBF">
            <w:pPr>
              <w:jc w:val="center"/>
              <w:rPr>
                <w:b/>
              </w:rPr>
            </w:pPr>
            <w:r w:rsidRPr="00506EBF">
              <w:rPr>
                <w:b/>
              </w:rPr>
              <w:t>DR</w:t>
            </w:r>
          </w:p>
        </w:tc>
      </w:tr>
      <w:tr w:rsidR="00506EBF" w:rsidTr="00506EBF">
        <w:tc>
          <w:tcPr>
            <w:tcW w:w="2160" w:type="dxa"/>
          </w:tcPr>
          <w:p w:rsidR="00506EBF" w:rsidRDefault="00506EBF" w:rsidP="00506EBF">
            <w:pPr>
              <w:jc w:val="center"/>
            </w:pPr>
            <w:r>
              <w:t>340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0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399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0.5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466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0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502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0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541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0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554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2.5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558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3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605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0.5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611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3.7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618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2.5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653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4.1</w:t>
            </w:r>
          </w:p>
        </w:tc>
      </w:tr>
      <w:tr w:rsidR="00506EBF" w:rsidTr="00506EBF"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707</w:t>
            </w:r>
          </w:p>
        </w:tc>
        <w:tc>
          <w:tcPr>
            <w:tcW w:w="2160" w:type="dxa"/>
          </w:tcPr>
          <w:p w:rsidR="00506EBF" w:rsidRDefault="001A3A59" w:rsidP="00506EBF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506EBF" w:rsidRDefault="00B31303" w:rsidP="00506EBF">
            <w:pPr>
              <w:jc w:val="center"/>
            </w:pPr>
            <w:r>
              <w:t>8.5</w:t>
            </w:r>
          </w:p>
        </w:tc>
      </w:tr>
    </w:tbl>
    <w:p w:rsidR="00E178E1" w:rsidRDefault="00E178E1"/>
    <w:p w:rsidR="0072516F" w:rsidRDefault="00F8398C">
      <w:r w:rsidRPr="00DD523E">
        <w:rPr>
          <w:highlight w:val="yellow"/>
        </w:rPr>
        <w:t>11.118 Test the hypothesis that the true Pearson correlation (</w:t>
      </w:r>
      <w:r w:rsidR="009E0965" w:rsidRPr="00DD523E">
        <w:rPr>
          <w:i/>
          <w:iCs/>
          <w:highlight w:val="yellow"/>
        </w:rPr>
        <w:t>ρ</w:t>
      </w:r>
      <w:r w:rsidRPr="00DD523E">
        <w:rPr>
          <w:highlight w:val="yellow"/>
        </w:rPr>
        <w:t xml:space="preserve">) is significantly different from zero [provide a p- value </w:t>
      </w:r>
      <w:r w:rsidR="00BD0093" w:rsidRPr="00DD523E">
        <w:rPr>
          <w:highlight w:val="yellow"/>
        </w:rPr>
        <w:t>(two</w:t>
      </w:r>
      <w:r w:rsidRPr="00DD523E">
        <w:rPr>
          <w:highlight w:val="yellow"/>
        </w:rPr>
        <w:t>- tail)].</w:t>
      </w:r>
    </w:p>
    <w:p w:rsidR="0072516F" w:rsidRDefault="0072516F"/>
    <w:sectPr w:rsidR="0072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A7"/>
    <w:rsid w:val="000671A7"/>
    <w:rsid w:val="0007039D"/>
    <w:rsid w:val="000834D2"/>
    <w:rsid w:val="00185D79"/>
    <w:rsid w:val="001A3A59"/>
    <w:rsid w:val="001A64B1"/>
    <w:rsid w:val="001C5707"/>
    <w:rsid w:val="001F5119"/>
    <w:rsid w:val="002003EB"/>
    <w:rsid w:val="002132BB"/>
    <w:rsid w:val="002303A8"/>
    <w:rsid w:val="002C64E9"/>
    <w:rsid w:val="00305996"/>
    <w:rsid w:val="00307A6E"/>
    <w:rsid w:val="0035516B"/>
    <w:rsid w:val="003A4196"/>
    <w:rsid w:val="0040017E"/>
    <w:rsid w:val="0040424B"/>
    <w:rsid w:val="00407540"/>
    <w:rsid w:val="004D2515"/>
    <w:rsid w:val="004F7EFB"/>
    <w:rsid w:val="00506EBF"/>
    <w:rsid w:val="0051720F"/>
    <w:rsid w:val="00553C6B"/>
    <w:rsid w:val="005871F0"/>
    <w:rsid w:val="005A7FE8"/>
    <w:rsid w:val="005E634B"/>
    <w:rsid w:val="005F2EBB"/>
    <w:rsid w:val="005F33A3"/>
    <w:rsid w:val="00605CEA"/>
    <w:rsid w:val="00607894"/>
    <w:rsid w:val="006153AB"/>
    <w:rsid w:val="00616926"/>
    <w:rsid w:val="0062346D"/>
    <w:rsid w:val="00683574"/>
    <w:rsid w:val="006C2594"/>
    <w:rsid w:val="006D53C2"/>
    <w:rsid w:val="006E0CBC"/>
    <w:rsid w:val="0072516F"/>
    <w:rsid w:val="007827D1"/>
    <w:rsid w:val="007A53BF"/>
    <w:rsid w:val="007F0830"/>
    <w:rsid w:val="008B1FBC"/>
    <w:rsid w:val="008B359B"/>
    <w:rsid w:val="009112CC"/>
    <w:rsid w:val="009543C8"/>
    <w:rsid w:val="00970449"/>
    <w:rsid w:val="009E0965"/>
    <w:rsid w:val="009F107D"/>
    <w:rsid w:val="009F74C6"/>
    <w:rsid w:val="00A76ACC"/>
    <w:rsid w:val="00A948F3"/>
    <w:rsid w:val="00AF21CE"/>
    <w:rsid w:val="00B07312"/>
    <w:rsid w:val="00B31303"/>
    <w:rsid w:val="00B91B31"/>
    <w:rsid w:val="00BA5121"/>
    <w:rsid w:val="00BD0093"/>
    <w:rsid w:val="00BF2BF9"/>
    <w:rsid w:val="00BF58C0"/>
    <w:rsid w:val="00BF5CC5"/>
    <w:rsid w:val="00C17C42"/>
    <w:rsid w:val="00C4358A"/>
    <w:rsid w:val="00C46878"/>
    <w:rsid w:val="00CF696A"/>
    <w:rsid w:val="00D154C0"/>
    <w:rsid w:val="00DD1FF7"/>
    <w:rsid w:val="00DD523E"/>
    <w:rsid w:val="00E04784"/>
    <w:rsid w:val="00E178E1"/>
    <w:rsid w:val="00E968BB"/>
    <w:rsid w:val="00EE52EA"/>
    <w:rsid w:val="00F47E0A"/>
    <w:rsid w:val="00F55E0D"/>
    <w:rsid w:val="00F628FA"/>
    <w:rsid w:val="00F65D7C"/>
    <w:rsid w:val="00F8398C"/>
    <w:rsid w:val="00F97B46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78</cp:revision>
  <dcterms:created xsi:type="dcterms:W3CDTF">2013-06-12T04:40:00Z</dcterms:created>
  <dcterms:modified xsi:type="dcterms:W3CDTF">2013-06-13T03:23:00Z</dcterms:modified>
</cp:coreProperties>
</file>