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C3B" w:rsidRPr="007C4DEF" w:rsidRDefault="006F2A23">
      <w:pPr>
        <w:rPr>
          <w:b/>
          <w:szCs w:val="26"/>
          <w:u w:val="single"/>
        </w:rPr>
      </w:pPr>
      <w:r w:rsidRPr="007C4DEF">
        <w:rPr>
          <w:b/>
          <w:szCs w:val="26"/>
          <w:u w:val="single"/>
        </w:rPr>
        <w:t>Modus Ponens</w:t>
      </w:r>
    </w:p>
    <w:tbl>
      <w:tblPr>
        <w:tblW w:w="5000" w:type="pct"/>
        <w:tblCellSpacing w:w="30" w:type="dxa"/>
        <w:tblCellMar>
          <w:top w:w="45" w:type="dxa"/>
          <w:left w:w="45" w:type="dxa"/>
          <w:bottom w:w="45" w:type="dxa"/>
          <w:right w:w="45" w:type="dxa"/>
        </w:tblCellMar>
        <w:tblLook w:val="04A0"/>
      </w:tblPr>
      <w:tblGrid>
        <w:gridCol w:w="10920"/>
        <w:gridCol w:w="90"/>
      </w:tblGrid>
      <w:tr w:rsidR="006F2A23" w:rsidRPr="007C4DEF" w:rsidTr="006F2A23">
        <w:trPr>
          <w:gridAfter w:val="1"/>
          <w:tblCellSpacing w:w="30" w:type="dxa"/>
        </w:trPr>
        <w:tc>
          <w:tcPr>
            <w:tcW w:w="0" w:type="auto"/>
            <w:hideMark/>
          </w:tcPr>
          <w:p w:rsidR="006F2A23" w:rsidRPr="007C4DEF" w:rsidRDefault="006F2A23" w:rsidP="006F2A23">
            <w:pPr>
              <w:rPr>
                <w:b/>
                <w:i/>
                <w:iCs/>
                <w:szCs w:val="26"/>
              </w:rPr>
            </w:pPr>
            <w:r w:rsidRPr="007C4DEF">
              <w:rPr>
                <w:szCs w:val="26"/>
              </w:rPr>
              <w:t xml:space="preserve">The principle that whenever a conditional statement and its antecedent are given to be true its consequent may be validly inferred, as in: </w:t>
            </w:r>
            <w:r w:rsidRPr="007C4DEF">
              <w:rPr>
                <w:b/>
                <w:szCs w:val="26"/>
              </w:rPr>
              <w:t>“</w:t>
            </w:r>
            <w:r w:rsidRPr="007C4DEF">
              <w:rPr>
                <w:b/>
                <w:i/>
                <w:iCs/>
                <w:szCs w:val="26"/>
              </w:rPr>
              <w:t xml:space="preserve">if it's Tuesday this must be Belgium </w:t>
            </w:r>
            <w:r w:rsidRPr="007C4DEF">
              <w:rPr>
                <w:b/>
                <w:szCs w:val="26"/>
              </w:rPr>
              <w:t xml:space="preserve">and </w:t>
            </w:r>
            <w:r w:rsidRPr="007C4DEF">
              <w:rPr>
                <w:b/>
                <w:i/>
                <w:iCs/>
                <w:szCs w:val="26"/>
              </w:rPr>
              <w:t xml:space="preserve">it's Tuesday so this must be Belgium” </w:t>
            </w:r>
          </w:p>
          <w:p w:rsidR="006F2A23" w:rsidRPr="007C4DEF" w:rsidRDefault="006F2A23" w:rsidP="006F2A23">
            <w:pPr>
              <w:rPr>
                <w:iCs/>
                <w:szCs w:val="26"/>
              </w:rPr>
            </w:pPr>
          </w:p>
          <w:p w:rsidR="006F2A23" w:rsidRPr="007C4DEF" w:rsidRDefault="006F2A23" w:rsidP="006F2A23">
            <w:pPr>
              <w:rPr>
                <w:b/>
                <w:iCs/>
                <w:szCs w:val="26"/>
                <w:u w:val="single"/>
              </w:rPr>
            </w:pPr>
            <w:r w:rsidRPr="007C4DEF">
              <w:rPr>
                <w:b/>
                <w:iCs/>
                <w:szCs w:val="26"/>
                <w:u w:val="single"/>
              </w:rPr>
              <w:t xml:space="preserve">Modus </w:t>
            </w:r>
            <w:proofErr w:type="spellStart"/>
            <w:r w:rsidRPr="007C4DEF">
              <w:rPr>
                <w:b/>
                <w:iCs/>
                <w:szCs w:val="26"/>
                <w:u w:val="single"/>
              </w:rPr>
              <w:t>Tollens</w:t>
            </w:r>
            <w:proofErr w:type="spellEnd"/>
          </w:p>
          <w:p w:rsidR="006F2A23" w:rsidRPr="007C4DEF" w:rsidRDefault="006F2A23" w:rsidP="006F2A23">
            <w:pPr>
              <w:rPr>
                <w:iCs/>
                <w:szCs w:val="26"/>
              </w:rPr>
            </w:pPr>
            <w:r w:rsidRPr="007C4DEF">
              <w:rPr>
                <w:rFonts w:cs="Times New Roman"/>
                <w:szCs w:val="26"/>
              </w:rPr>
              <w:t xml:space="preserve">The principle that whenever a conditional statement and the negation of its consequent are given to be true, the negation of its antecedent may be validly inferred, as in: </w:t>
            </w:r>
            <w:r w:rsidRPr="007C4DEF">
              <w:rPr>
                <w:rFonts w:cs="Times New Roman"/>
                <w:b/>
                <w:szCs w:val="26"/>
              </w:rPr>
              <w:t>“</w:t>
            </w:r>
            <w:r w:rsidRPr="007C4DEF">
              <w:rPr>
                <w:rFonts w:cs="Times New Roman"/>
                <w:b/>
                <w:i/>
                <w:iCs/>
                <w:szCs w:val="26"/>
              </w:rPr>
              <w:t xml:space="preserve">if it's Tuesday this must be Belgium </w:t>
            </w:r>
            <w:r w:rsidRPr="007C4DEF">
              <w:rPr>
                <w:rFonts w:cs="Times New Roman"/>
                <w:b/>
                <w:szCs w:val="26"/>
              </w:rPr>
              <w:t xml:space="preserve">and </w:t>
            </w:r>
            <w:r w:rsidRPr="007C4DEF">
              <w:rPr>
                <w:rFonts w:cs="Times New Roman"/>
                <w:b/>
                <w:i/>
                <w:iCs/>
                <w:szCs w:val="26"/>
              </w:rPr>
              <w:t>this isn't Belgium so it's not Tuesday.’</w:t>
            </w:r>
          </w:p>
        </w:tc>
      </w:tr>
      <w:tr w:rsidR="006F2A23" w:rsidRPr="007C4DEF" w:rsidTr="006F2A23">
        <w:trPr>
          <w:tblCellSpacing w:w="30" w:type="dxa"/>
        </w:trPr>
        <w:tc>
          <w:tcPr>
            <w:tcW w:w="0" w:type="auto"/>
            <w:gridSpan w:val="2"/>
            <w:hideMark/>
          </w:tcPr>
          <w:p w:rsidR="006F2A23" w:rsidRPr="007C4DEF" w:rsidRDefault="006F2A23" w:rsidP="006F2A23">
            <w:pPr>
              <w:rPr>
                <w:szCs w:val="26"/>
              </w:rPr>
            </w:pPr>
          </w:p>
        </w:tc>
      </w:tr>
    </w:tbl>
    <w:p w:rsidR="006F2A23" w:rsidRPr="007C4DEF" w:rsidRDefault="006F2A23">
      <w:pPr>
        <w:rPr>
          <w:b/>
          <w:szCs w:val="26"/>
          <w:u w:val="single"/>
        </w:rPr>
      </w:pPr>
      <w:r w:rsidRPr="007C4DEF">
        <w:rPr>
          <w:b/>
          <w:szCs w:val="26"/>
          <w:u w:val="single"/>
        </w:rPr>
        <w:t>Disjunctive Syllogism</w:t>
      </w:r>
    </w:p>
    <w:p w:rsidR="006F2A23" w:rsidRPr="007C4DEF" w:rsidRDefault="006F2A23">
      <w:pPr>
        <w:rPr>
          <w:szCs w:val="26"/>
          <w:lang/>
        </w:rPr>
      </w:pPr>
      <w:r w:rsidRPr="007C4DEF">
        <w:rPr>
          <w:bCs/>
          <w:szCs w:val="26"/>
          <w:lang/>
        </w:rPr>
        <w:t>Disjunctive syllogism</w:t>
      </w:r>
      <w:r w:rsidRPr="007C4DEF">
        <w:rPr>
          <w:szCs w:val="26"/>
          <w:lang/>
        </w:rPr>
        <w:t xml:space="preserve"> is a valid </w:t>
      </w:r>
      <w:hyperlink r:id="rId4" w:tooltip="Rule of inference" w:history="1">
        <w:r w:rsidRPr="007C4DEF">
          <w:rPr>
            <w:rStyle w:val="Hyperlink"/>
            <w:color w:val="auto"/>
            <w:szCs w:val="26"/>
            <w:u w:val="none"/>
            <w:lang/>
          </w:rPr>
          <w:t>rule of inference</w:t>
        </w:r>
      </w:hyperlink>
      <w:r w:rsidRPr="007C4DEF">
        <w:rPr>
          <w:szCs w:val="26"/>
          <w:lang/>
        </w:rPr>
        <w:t xml:space="preserve">. If we are told that at least one of two statements is true; and also told that it is not the former that is true; we can </w:t>
      </w:r>
      <w:hyperlink r:id="rId5" w:tooltip="Inference" w:history="1">
        <w:r w:rsidRPr="007C4DEF">
          <w:rPr>
            <w:rStyle w:val="Hyperlink"/>
            <w:color w:val="auto"/>
            <w:szCs w:val="26"/>
            <w:u w:val="none"/>
            <w:lang/>
          </w:rPr>
          <w:t>infer</w:t>
        </w:r>
      </w:hyperlink>
      <w:r w:rsidRPr="007C4DEF">
        <w:rPr>
          <w:szCs w:val="26"/>
          <w:lang/>
        </w:rPr>
        <w:t xml:space="preserve"> that it has to be the latter that is true.</w:t>
      </w:r>
    </w:p>
    <w:p w:rsidR="007C4DEF" w:rsidRPr="007C4DEF" w:rsidRDefault="007C4DEF" w:rsidP="007C4DEF">
      <w:pPr>
        <w:spacing w:before="100" w:beforeAutospacing="1" w:after="100" w:afterAutospacing="1" w:line="240" w:lineRule="auto"/>
        <w:rPr>
          <w:rFonts w:eastAsia="Times New Roman" w:cs="Times New Roman"/>
          <w:szCs w:val="26"/>
        </w:rPr>
      </w:pPr>
      <w:r w:rsidRPr="007C4DEF">
        <w:rPr>
          <w:rFonts w:eastAsia="Times New Roman" w:cs="Times New Roman"/>
          <w:szCs w:val="26"/>
        </w:rPr>
        <w:t>Logical reasoning is the process which uses arguments, statements, premises and axioms to define weather a statement is true or false, resulting in a logical or illogical reasoning. In today’s logical reasoning three different types of reasoning can be distinguished, known as deductive reasoning, inductive reasoning and adductive reasoning based on respectively deduction, induction and abduction.</w:t>
      </w:r>
    </w:p>
    <w:p w:rsidR="007C4DEF" w:rsidRPr="007C4DEF" w:rsidRDefault="007C4DEF" w:rsidP="007C4DEF">
      <w:pPr>
        <w:spacing w:before="100" w:beforeAutospacing="1" w:after="100" w:afterAutospacing="1" w:line="240" w:lineRule="auto"/>
        <w:outlineLvl w:val="1"/>
        <w:rPr>
          <w:rFonts w:eastAsia="Times New Roman" w:cs="Times New Roman"/>
          <w:b/>
          <w:bCs/>
          <w:szCs w:val="26"/>
          <w:u w:val="single"/>
        </w:rPr>
      </w:pPr>
      <w:r w:rsidRPr="007C4DEF">
        <w:rPr>
          <w:rFonts w:eastAsia="Times New Roman" w:cs="Times New Roman"/>
          <w:b/>
          <w:bCs/>
          <w:szCs w:val="26"/>
          <w:u w:val="single"/>
        </w:rPr>
        <w:t>General Rule (Deductive Reasoning)</w:t>
      </w:r>
    </w:p>
    <w:p w:rsidR="007C4DEF" w:rsidRPr="007C4DEF" w:rsidRDefault="007C4DEF" w:rsidP="007C4DEF">
      <w:pPr>
        <w:spacing w:before="100" w:beforeAutospacing="1" w:after="100" w:afterAutospacing="1" w:line="240" w:lineRule="auto"/>
        <w:rPr>
          <w:rFonts w:eastAsia="Times New Roman" w:cs="Times New Roman"/>
          <w:szCs w:val="26"/>
        </w:rPr>
      </w:pPr>
      <w:r w:rsidRPr="007C4DEF">
        <w:rPr>
          <w:rFonts w:eastAsia="Times New Roman" w:cs="Times New Roman"/>
          <w:szCs w:val="26"/>
        </w:rPr>
        <w:t xml:space="preserve">Deductive reasoning originates from the philosophy and mathematics and is the most obvious form of reasoning. Deduction is a method for applying a general rule (major premise) in specific situations (minor premise) of which conclusions can be drawn. </w:t>
      </w:r>
      <w:r w:rsidRPr="007C4DEF">
        <w:rPr>
          <w:rFonts w:eastAsia="Times New Roman" w:cs="Times New Roman"/>
          <w:i/>
          <w:iCs/>
          <w:szCs w:val="26"/>
        </w:rPr>
        <w:t>Example</w:t>
      </w:r>
      <w:r w:rsidRPr="007C4DEF">
        <w:rPr>
          <w:rFonts w:eastAsia="Times New Roman" w:cs="Times New Roman"/>
          <w:szCs w:val="26"/>
        </w:rPr>
        <w:t>:</w:t>
      </w:r>
    </w:p>
    <w:p w:rsidR="007C4DEF" w:rsidRPr="007C4DEF" w:rsidRDefault="007C4DEF" w:rsidP="007C4DEF">
      <w:pPr>
        <w:spacing w:after="0" w:line="240" w:lineRule="auto"/>
        <w:rPr>
          <w:rFonts w:eastAsia="Times New Roman" w:cs="Times New Roman"/>
          <w:szCs w:val="26"/>
        </w:rPr>
      </w:pPr>
      <w:r w:rsidRPr="007C4DEF">
        <w:rPr>
          <w:rFonts w:eastAsia="Times New Roman" w:cs="Times New Roman"/>
          <w:b/>
          <w:bCs/>
          <w:szCs w:val="26"/>
        </w:rPr>
        <w:t>Major premise:</w:t>
      </w:r>
      <w:r w:rsidRPr="007C4DEF">
        <w:rPr>
          <w:rFonts w:eastAsia="Times New Roman" w:cs="Times New Roman"/>
          <w:szCs w:val="26"/>
        </w:rPr>
        <w:t xml:space="preserve"> All humans are mortal</w:t>
      </w:r>
      <w:r w:rsidRPr="007C4DEF">
        <w:rPr>
          <w:rFonts w:eastAsia="Times New Roman" w:cs="Times New Roman"/>
          <w:szCs w:val="26"/>
        </w:rPr>
        <w:br/>
      </w:r>
      <w:r w:rsidRPr="007C4DEF">
        <w:rPr>
          <w:rFonts w:eastAsia="Times New Roman" w:cs="Times New Roman"/>
          <w:b/>
          <w:bCs/>
          <w:szCs w:val="26"/>
        </w:rPr>
        <w:t>Minor premise:</w:t>
      </w:r>
      <w:r w:rsidRPr="007C4DEF">
        <w:rPr>
          <w:rFonts w:eastAsia="Times New Roman" w:cs="Times New Roman"/>
          <w:szCs w:val="26"/>
        </w:rPr>
        <w:t xml:space="preserve"> Socrates is human</w:t>
      </w:r>
      <w:r w:rsidRPr="007C4DEF">
        <w:rPr>
          <w:rFonts w:eastAsia="Times New Roman" w:cs="Times New Roman"/>
          <w:szCs w:val="26"/>
        </w:rPr>
        <w:br/>
      </w:r>
      <w:r w:rsidRPr="007C4DEF">
        <w:rPr>
          <w:rFonts w:eastAsia="Times New Roman" w:cs="Times New Roman"/>
          <w:b/>
          <w:bCs/>
          <w:szCs w:val="26"/>
        </w:rPr>
        <w:t>Conclusion:</w:t>
      </w:r>
      <w:r w:rsidRPr="007C4DEF">
        <w:rPr>
          <w:rFonts w:eastAsia="Times New Roman" w:cs="Times New Roman"/>
          <w:szCs w:val="26"/>
        </w:rPr>
        <w:t xml:space="preserve"> Socrates is mortal</w:t>
      </w:r>
    </w:p>
    <w:p w:rsidR="006F2A23" w:rsidRPr="007C4DEF" w:rsidRDefault="007C4DEF" w:rsidP="007C4DEF">
      <w:pPr>
        <w:spacing w:before="100" w:beforeAutospacing="1" w:after="100" w:afterAutospacing="1" w:line="240" w:lineRule="auto"/>
        <w:rPr>
          <w:rFonts w:eastAsia="Times New Roman" w:cs="Times New Roman"/>
          <w:szCs w:val="26"/>
        </w:rPr>
      </w:pPr>
      <w:r w:rsidRPr="007C4DEF">
        <w:rPr>
          <w:rFonts w:eastAsia="Times New Roman" w:cs="Times New Roman"/>
          <w:szCs w:val="26"/>
        </w:rPr>
        <w:t>Immediately the obviousness and straightforwardness of the conclusion can be drawn from the premises above of the example of deductive reasoning. Notice that deductive reasoning no new information provides, it only rearranges information what is already known into a new statement or conclusion.</w:t>
      </w:r>
    </w:p>
    <w:sectPr w:rsidR="006F2A23" w:rsidRPr="007C4DEF" w:rsidSect="007C4DEF">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30"/>
  <w:displayHorizontalDrawingGridEvery w:val="2"/>
  <w:characterSpacingControl w:val="doNotCompress"/>
  <w:compat/>
  <w:rsids>
    <w:rsidRoot w:val="006F2A23"/>
    <w:rsid w:val="00190C3B"/>
    <w:rsid w:val="003E4A68"/>
    <w:rsid w:val="006F2A23"/>
    <w:rsid w:val="007C4DEF"/>
    <w:rsid w:val="00C12A11"/>
    <w:rsid w:val="00C855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C3B"/>
  </w:style>
  <w:style w:type="paragraph" w:styleId="Heading2">
    <w:name w:val="heading 2"/>
    <w:basedOn w:val="Normal"/>
    <w:link w:val="Heading2Char"/>
    <w:uiPriority w:val="9"/>
    <w:qFormat/>
    <w:rsid w:val="007C4DEF"/>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2A23"/>
    <w:rPr>
      <w:color w:val="0000FF" w:themeColor="hyperlink"/>
      <w:u w:val="single"/>
    </w:rPr>
  </w:style>
  <w:style w:type="character" w:customStyle="1" w:styleId="Heading2Char">
    <w:name w:val="Heading 2 Char"/>
    <w:basedOn w:val="DefaultParagraphFont"/>
    <w:link w:val="Heading2"/>
    <w:uiPriority w:val="9"/>
    <w:rsid w:val="007C4DEF"/>
    <w:rPr>
      <w:rFonts w:eastAsia="Times New Roman" w:cs="Times New Roman"/>
      <w:b/>
      <w:bCs/>
      <w:sz w:val="36"/>
      <w:szCs w:val="36"/>
    </w:rPr>
  </w:style>
  <w:style w:type="character" w:styleId="Emphasis">
    <w:name w:val="Emphasis"/>
    <w:basedOn w:val="DefaultParagraphFont"/>
    <w:uiPriority w:val="20"/>
    <w:qFormat/>
    <w:rsid w:val="007C4DEF"/>
    <w:rPr>
      <w:i/>
      <w:iCs/>
    </w:rPr>
  </w:style>
  <w:style w:type="paragraph" w:customStyle="1" w:styleId="main">
    <w:name w:val="main"/>
    <w:basedOn w:val="Normal"/>
    <w:rsid w:val="007C4DEF"/>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81371294">
      <w:bodyDiv w:val="1"/>
      <w:marLeft w:val="0"/>
      <w:marRight w:val="0"/>
      <w:marTop w:val="0"/>
      <w:marBottom w:val="0"/>
      <w:divBdr>
        <w:top w:val="none" w:sz="0" w:space="0" w:color="auto"/>
        <w:left w:val="none" w:sz="0" w:space="0" w:color="auto"/>
        <w:bottom w:val="none" w:sz="0" w:space="0" w:color="auto"/>
        <w:right w:val="none" w:sz="0" w:space="0" w:color="auto"/>
      </w:divBdr>
      <w:divsChild>
        <w:div w:id="1742604139">
          <w:marLeft w:val="0"/>
          <w:marRight w:val="0"/>
          <w:marTop w:val="100"/>
          <w:marBottom w:val="15"/>
          <w:divBdr>
            <w:top w:val="none" w:sz="0" w:space="0" w:color="auto"/>
            <w:left w:val="none" w:sz="0" w:space="0" w:color="auto"/>
            <w:bottom w:val="none" w:sz="0" w:space="0" w:color="auto"/>
            <w:right w:val="none" w:sz="0" w:space="0" w:color="auto"/>
          </w:divBdr>
          <w:divsChild>
            <w:div w:id="2077123013">
              <w:marLeft w:val="0"/>
              <w:marRight w:val="0"/>
              <w:marTop w:val="100"/>
              <w:marBottom w:val="100"/>
              <w:divBdr>
                <w:top w:val="none" w:sz="0" w:space="0" w:color="auto"/>
                <w:left w:val="none" w:sz="0" w:space="0" w:color="auto"/>
                <w:bottom w:val="none" w:sz="0" w:space="0" w:color="auto"/>
                <w:right w:val="none" w:sz="0" w:space="0" w:color="auto"/>
              </w:divBdr>
              <w:divsChild>
                <w:div w:id="240913409">
                  <w:marLeft w:val="0"/>
                  <w:marRight w:val="0"/>
                  <w:marTop w:val="225"/>
                  <w:marBottom w:val="0"/>
                  <w:divBdr>
                    <w:top w:val="none" w:sz="0" w:space="0" w:color="auto"/>
                    <w:left w:val="none" w:sz="0" w:space="0" w:color="auto"/>
                    <w:bottom w:val="none" w:sz="0" w:space="0" w:color="auto"/>
                    <w:right w:val="none" w:sz="0" w:space="0" w:color="auto"/>
                  </w:divBdr>
                  <w:divsChild>
                    <w:div w:id="2069569308">
                      <w:marLeft w:val="0"/>
                      <w:marRight w:val="0"/>
                      <w:marTop w:val="0"/>
                      <w:marBottom w:val="0"/>
                      <w:divBdr>
                        <w:top w:val="none" w:sz="0" w:space="0" w:color="auto"/>
                        <w:left w:val="none" w:sz="0" w:space="0" w:color="auto"/>
                        <w:bottom w:val="none" w:sz="0" w:space="0" w:color="auto"/>
                        <w:right w:val="none" w:sz="0" w:space="0" w:color="auto"/>
                      </w:divBdr>
                      <w:divsChild>
                        <w:div w:id="1659534431">
                          <w:marLeft w:val="0"/>
                          <w:marRight w:val="0"/>
                          <w:marTop w:val="0"/>
                          <w:marBottom w:val="0"/>
                          <w:divBdr>
                            <w:top w:val="none" w:sz="0" w:space="0" w:color="auto"/>
                            <w:left w:val="none" w:sz="0" w:space="0" w:color="auto"/>
                            <w:bottom w:val="none" w:sz="0" w:space="0" w:color="auto"/>
                            <w:right w:val="none" w:sz="0" w:space="0" w:color="auto"/>
                          </w:divBdr>
                          <w:divsChild>
                            <w:div w:id="1121221173">
                              <w:marLeft w:val="0"/>
                              <w:marRight w:val="0"/>
                              <w:marTop w:val="0"/>
                              <w:marBottom w:val="0"/>
                              <w:divBdr>
                                <w:top w:val="none" w:sz="0" w:space="0" w:color="auto"/>
                                <w:left w:val="none" w:sz="0" w:space="0" w:color="auto"/>
                                <w:bottom w:val="none" w:sz="0" w:space="0" w:color="auto"/>
                                <w:right w:val="none" w:sz="0" w:space="0" w:color="auto"/>
                              </w:divBdr>
                              <w:divsChild>
                                <w:div w:id="1644194195">
                                  <w:marLeft w:val="0"/>
                                  <w:marRight w:val="0"/>
                                  <w:marTop w:val="0"/>
                                  <w:marBottom w:val="0"/>
                                  <w:divBdr>
                                    <w:top w:val="none" w:sz="0" w:space="0" w:color="auto"/>
                                    <w:left w:val="none" w:sz="0" w:space="0" w:color="auto"/>
                                    <w:bottom w:val="none" w:sz="0" w:space="0" w:color="auto"/>
                                    <w:right w:val="none" w:sz="0" w:space="0" w:color="auto"/>
                                  </w:divBdr>
                                  <w:divsChild>
                                    <w:div w:id="1617518638">
                                      <w:marLeft w:val="0"/>
                                      <w:marRight w:val="0"/>
                                      <w:marTop w:val="0"/>
                                      <w:marBottom w:val="0"/>
                                      <w:divBdr>
                                        <w:top w:val="none" w:sz="0" w:space="0" w:color="auto"/>
                                        <w:left w:val="none" w:sz="0" w:space="0" w:color="auto"/>
                                        <w:bottom w:val="none" w:sz="0" w:space="0" w:color="auto"/>
                                        <w:right w:val="none" w:sz="0" w:space="0" w:color="auto"/>
                                      </w:divBdr>
                                      <w:divsChild>
                                        <w:div w:id="744109766">
                                          <w:marLeft w:val="0"/>
                                          <w:marRight w:val="0"/>
                                          <w:marTop w:val="0"/>
                                          <w:marBottom w:val="0"/>
                                          <w:divBdr>
                                            <w:top w:val="single" w:sz="6" w:space="5" w:color="E4E4E4"/>
                                            <w:left w:val="none" w:sz="0" w:space="0" w:color="auto"/>
                                            <w:bottom w:val="none" w:sz="0" w:space="0" w:color="auto"/>
                                            <w:right w:val="none" w:sz="0" w:space="0" w:color="auto"/>
                                          </w:divBdr>
                                          <w:divsChild>
                                            <w:div w:id="604920960">
                                              <w:marLeft w:val="0"/>
                                              <w:marRight w:val="0"/>
                                              <w:marTop w:val="0"/>
                                              <w:marBottom w:val="0"/>
                                              <w:divBdr>
                                                <w:top w:val="none" w:sz="0" w:space="0" w:color="auto"/>
                                                <w:left w:val="none" w:sz="0" w:space="0" w:color="auto"/>
                                                <w:bottom w:val="none" w:sz="0" w:space="0" w:color="auto"/>
                                                <w:right w:val="none" w:sz="0" w:space="0" w:color="auto"/>
                                              </w:divBdr>
                                              <w:divsChild>
                                                <w:div w:id="153885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0700653">
      <w:bodyDiv w:val="1"/>
      <w:marLeft w:val="0"/>
      <w:marRight w:val="0"/>
      <w:marTop w:val="0"/>
      <w:marBottom w:val="0"/>
      <w:divBdr>
        <w:top w:val="none" w:sz="0" w:space="0" w:color="auto"/>
        <w:left w:val="none" w:sz="0" w:space="0" w:color="auto"/>
        <w:bottom w:val="none" w:sz="0" w:space="0" w:color="auto"/>
        <w:right w:val="none" w:sz="0" w:space="0" w:color="auto"/>
      </w:divBdr>
      <w:divsChild>
        <w:div w:id="238561017">
          <w:marLeft w:val="0"/>
          <w:marRight w:val="0"/>
          <w:marTop w:val="0"/>
          <w:marBottom w:val="0"/>
          <w:divBdr>
            <w:top w:val="none" w:sz="0" w:space="0" w:color="auto"/>
            <w:left w:val="none" w:sz="0" w:space="0" w:color="auto"/>
            <w:bottom w:val="none" w:sz="0" w:space="0" w:color="auto"/>
            <w:right w:val="none" w:sz="0" w:space="0" w:color="auto"/>
          </w:divBdr>
          <w:divsChild>
            <w:div w:id="849099604">
              <w:marLeft w:val="0"/>
              <w:marRight w:val="0"/>
              <w:marTop w:val="0"/>
              <w:marBottom w:val="0"/>
              <w:divBdr>
                <w:top w:val="none" w:sz="0" w:space="0" w:color="auto"/>
                <w:left w:val="none" w:sz="0" w:space="0" w:color="auto"/>
                <w:bottom w:val="none" w:sz="0" w:space="0" w:color="auto"/>
                <w:right w:val="none" w:sz="0" w:space="0" w:color="auto"/>
              </w:divBdr>
              <w:divsChild>
                <w:div w:id="214204366">
                  <w:marLeft w:val="0"/>
                  <w:marRight w:val="0"/>
                  <w:marTop w:val="0"/>
                  <w:marBottom w:val="0"/>
                  <w:divBdr>
                    <w:top w:val="none" w:sz="0" w:space="0" w:color="auto"/>
                    <w:left w:val="none" w:sz="0" w:space="0" w:color="auto"/>
                    <w:bottom w:val="none" w:sz="0" w:space="0" w:color="auto"/>
                    <w:right w:val="none" w:sz="0" w:space="0" w:color="auto"/>
                  </w:divBdr>
                  <w:divsChild>
                    <w:div w:id="1184367343">
                      <w:marLeft w:val="0"/>
                      <w:marRight w:val="0"/>
                      <w:marTop w:val="0"/>
                      <w:marBottom w:val="0"/>
                      <w:divBdr>
                        <w:top w:val="none" w:sz="0" w:space="0" w:color="auto"/>
                        <w:left w:val="none" w:sz="0" w:space="0" w:color="auto"/>
                        <w:bottom w:val="none" w:sz="0" w:space="0" w:color="auto"/>
                        <w:right w:val="none" w:sz="0" w:space="0" w:color="auto"/>
                      </w:divBdr>
                      <w:divsChild>
                        <w:div w:id="118034311">
                          <w:marLeft w:val="0"/>
                          <w:marRight w:val="0"/>
                          <w:marTop w:val="0"/>
                          <w:marBottom w:val="0"/>
                          <w:divBdr>
                            <w:top w:val="none" w:sz="0" w:space="0" w:color="auto"/>
                            <w:left w:val="none" w:sz="0" w:space="0" w:color="auto"/>
                            <w:bottom w:val="none" w:sz="0" w:space="0" w:color="auto"/>
                            <w:right w:val="none" w:sz="0" w:space="0" w:color="auto"/>
                          </w:divBdr>
                          <w:divsChild>
                            <w:div w:id="1498307877">
                              <w:marLeft w:val="0"/>
                              <w:marRight w:val="0"/>
                              <w:marTop w:val="0"/>
                              <w:marBottom w:val="0"/>
                              <w:divBdr>
                                <w:top w:val="none" w:sz="0" w:space="0" w:color="auto"/>
                                <w:left w:val="none" w:sz="0" w:space="0" w:color="auto"/>
                                <w:bottom w:val="none" w:sz="0" w:space="0" w:color="auto"/>
                                <w:right w:val="none" w:sz="0" w:space="0" w:color="auto"/>
                              </w:divBdr>
                              <w:divsChild>
                                <w:div w:id="1295911659">
                                  <w:marLeft w:val="0"/>
                                  <w:marRight w:val="0"/>
                                  <w:marTop w:val="0"/>
                                  <w:marBottom w:val="0"/>
                                  <w:divBdr>
                                    <w:top w:val="none" w:sz="0" w:space="0" w:color="auto"/>
                                    <w:left w:val="none" w:sz="0" w:space="0" w:color="auto"/>
                                    <w:bottom w:val="none" w:sz="0" w:space="0" w:color="auto"/>
                                    <w:right w:val="none" w:sz="0" w:space="0" w:color="auto"/>
                                  </w:divBdr>
                                  <w:divsChild>
                                    <w:div w:id="89424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1032338">
      <w:bodyDiv w:val="1"/>
      <w:marLeft w:val="0"/>
      <w:marRight w:val="0"/>
      <w:marTop w:val="0"/>
      <w:marBottom w:val="0"/>
      <w:divBdr>
        <w:top w:val="none" w:sz="0" w:space="0" w:color="auto"/>
        <w:left w:val="none" w:sz="0" w:space="0" w:color="auto"/>
        <w:bottom w:val="none" w:sz="0" w:space="0" w:color="auto"/>
        <w:right w:val="none" w:sz="0" w:space="0" w:color="auto"/>
      </w:divBdr>
      <w:divsChild>
        <w:div w:id="331221949">
          <w:marLeft w:val="0"/>
          <w:marRight w:val="0"/>
          <w:marTop w:val="100"/>
          <w:marBottom w:val="15"/>
          <w:divBdr>
            <w:top w:val="none" w:sz="0" w:space="0" w:color="auto"/>
            <w:left w:val="none" w:sz="0" w:space="0" w:color="auto"/>
            <w:bottom w:val="none" w:sz="0" w:space="0" w:color="auto"/>
            <w:right w:val="none" w:sz="0" w:space="0" w:color="auto"/>
          </w:divBdr>
          <w:divsChild>
            <w:div w:id="310791984">
              <w:marLeft w:val="0"/>
              <w:marRight w:val="0"/>
              <w:marTop w:val="100"/>
              <w:marBottom w:val="100"/>
              <w:divBdr>
                <w:top w:val="none" w:sz="0" w:space="0" w:color="auto"/>
                <w:left w:val="none" w:sz="0" w:space="0" w:color="auto"/>
                <w:bottom w:val="none" w:sz="0" w:space="0" w:color="auto"/>
                <w:right w:val="none" w:sz="0" w:space="0" w:color="auto"/>
              </w:divBdr>
              <w:divsChild>
                <w:div w:id="153425008">
                  <w:marLeft w:val="0"/>
                  <w:marRight w:val="0"/>
                  <w:marTop w:val="225"/>
                  <w:marBottom w:val="0"/>
                  <w:divBdr>
                    <w:top w:val="none" w:sz="0" w:space="0" w:color="auto"/>
                    <w:left w:val="none" w:sz="0" w:space="0" w:color="auto"/>
                    <w:bottom w:val="none" w:sz="0" w:space="0" w:color="auto"/>
                    <w:right w:val="none" w:sz="0" w:space="0" w:color="auto"/>
                  </w:divBdr>
                  <w:divsChild>
                    <w:div w:id="51733157">
                      <w:marLeft w:val="0"/>
                      <w:marRight w:val="0"/>
                      <w:marTop w:val="0"/>
                      <w:marBottom w:val="0"/>
                      <w:divBdr>
                        <w:top w:val="none" w:sz="0" w:space="0" w:color="auto"/>
                        <w:left w:val="none" w:sz="0" w:space="0" w:color="auto"/>
                        <w:bottom w:val="none" w:sz="0" w:space="0" w:color="auto"/>
                        <w:right w:val="none" w:sz="0" w:space="0" w:color="auto"/>
                      </w:divBdr>
                      <w:divsChild>
                        <w:div w:id="582223736">
                          <w:marLeft w:val="0"/>
                          <w:marRight w:val="0"/>
                          <w:marTop w:val="0"/>
                          <w:marBottom w:val="0"/>
                          <w:divBdr>
                            <w:top w:val="none" w:sz="0" w:space="0" w:color="auto"/>
                            <w:left w:val="none" w:sz="0" w:space="0" w:color="auto"/>
                            <w:bottom w:val="none" w:sz="0" w:space="0" w:color="auto"/>
                            <w:right w:val="none" w:sz="0" w:space="0" w:color="auto"/>
                          </w:divBdr>
                          <w:divsChild>
                            <w:div w:id="106050044">
                              <w:marLeft w:val="0"/>
                              <w:marRight w:val="0"/>
                              <w:marTop w:val="0"/>
                              <w:marBottom w:val="0"/>
                              <w:divBdr>
                                <w:top w:val="none" w:sz="0" w:space="0" w:color="auto"/>
                                <w:left w:val="none" w:sz="0" w:space="0" w:color="auto"/>
                                <w:bottom w:val="none" w:sz="0" w:space="0" w:color="auto"/>
                                <w:right w:val="none" w:sz="0" w:space="0" w:color="auto"/>
                              </w:divBdr>
                              <w:divsChild>
                                <w:div w:id="1800106632">
                                  <w:marLeft w:val="0"/>
                                  <w:marRight w:val="0"/>
                                  <w:marTop w:val="0"/>
                                  <w:marBottom w:val="0"/>
                                  <w:divBdr>
                                    <w:top w:val="none" w:sz="0" w:space="0" w:color="auto"/>
                                    <w:left w:val="none" w:sz="0" w:space="0" w:color="auto"/>
                                    <w:bottom w:val="none" w:sz="0" w:space="0" w:color="auto"/>
                                    <w:right w:val="none" w:sz="0" w:space="0" w:color="auto"/>
                                  </w:divBdr>
                                  <w:divsChild>
                                    <w:div w:id="1978795715">
                                      <w:marLeft w:val="0"/>
                                      <w:marRight w:val="0"/>
                                      <w:marTop w:val="0"/>
                                      <w:marBottom w:val="0"/>
                                      <w:divBdr>
                                        <w:top w:val="none" w:sz="0" w:space="0" w:color="auto"/>
                                        <w:left w:val="none" w:sz="0" w:space="0" w:color="auto"/>
                                        <w:bottom w:val="none" w:sz="0" w:space="0" w:color="auto"/>
                                        <w:right w:val="none" w:sz="0" w:space="0" w:color="auto"/>
                                      </w:divBdr>
                                      <w:divsChild>
                                        <w:div w:id="1497455929">
                                          <w:marLeft w:val="0"/>
                                          <w:marRight w:val="0"/>
                                          <w:marTop w:val="0"/>
                                          <w:marBottom w:val="0"/>
                                          <w:divBdr>
                                            <w:top w:val="single" w:sz="6" w:space="5" w:color="E4E4E4"/>
                                            <w:left w:val="none" w:sz="0" w:space="0" w:color="auto"/>
                                            <w:bottom w:val="none" w:sz="0" w:space="0" w:color="auto"/>
                                            <w:right w:val="none" w:sz="0" w:space="0" w:color="auto"/>
                                          </w:divBdr>
                                          <w:divsChild>
                                            <w:div w:id="2094400211">
                                              <w:marLeft w:val="0"/>
                                              <w:marRight w:val="0"/>
                                              <w:marTop w:val="0"/>
                                              <w:marBottom w:val="0"/>
                                              <w:divBdr>
                                                <w:top w:val="none" w:sz="0" w:space="0" w:color="auto"/>
                                                <w:left w:val="none" w:sz="0" w:space="0" w:color="auto"/>
                                                <w:bottom w:val="none" w:sz="0" w:space="0" w:color="auto"/>
                                                <w:right w:val="none" w:sz="0" w:space="0" w:color="auto"/>
                                              </w:divBdr>
                                              <w:divsChild>
                                                <w:div w:id="77347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n.wikipedia.org/wiki/Inference" TargetMode="External"/><Relationship Id="rId4" Type="http://schemas.openxmlformats.org/officeDocument/2006/relationships/hyperlink" Target="http://en.wikipedia.org/wiki/Rule_of_infer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298</Words>
  <Characters>1699</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akelah.z.roberts.ctr</dc:creator>
  <cp:lastModifiedBy>akelah.z.roberts.ctr</cp:lastModifiedBy>
  <cp:revision>2</cp:revision>
  <dcterms:created xsi:type="dcterms:W3CDTF">2013-06-10T12:24:00Z</dcterms:created>
  <dcterms:modified xsi:type="dcterms:W3CDTF">2013-06-10T12:43:00Z</dcterms:modified>
</cp:coreProperties>
</file>