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967" w:rsidRDefault="001C2967" w:rsidP="001C2967">
      <w:pPr>
        <w:keepNext/>
        <w:keepLines/>
        <w:widowControl w:val="0"/>
        <w:autoSpaceDE w:val="0"/>
        <w:autoSpaceDN w:val="0"/>
        <w:adjustRightInd w:val="0"/>
        <w:spacing w:before="319" w:after="319" w:line="240" w:lineRule="auto"/>
        <w:rPr>
          <w:rFonts w:ascii="Times Roman" w:hAnsi="Times Roman" w:cs="Times Roman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1. The following are preliminary financial statements for Black Co. and Blue Co. for the year ending December 31, 20X1.</w:t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color w:val="000000"/>
          <w:sz w:val="24"/>
          <w:szCs w:val="24"/>
        </w:rPr>
        <w:t> </w:t>
      </w:r>
      <w:r>
        <w:rPr>
          <w:rFonts w:ascii="Times Roman" w:hAnsi="Times Roman" w:cs="Times Roman"/>
          <w:noProof/>
          <w:color w:val="000000"/>
          <w:sz w:val="24"/>
          <w:szCs w:val="24"/>
        </w:rPr>
        <w:drawing>
          <wp:inline distT="0" distB="0" distL="0" distR="0">
            <wp:extent cx="4410075" cy="3038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sz w:val="24"/>
          <w:szCs w:val="24"/>
        </w:rPr>
        <w:t> </w:t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color w:val="000000"/>
          <w:sz w:val="24"/>
          <w:szCs w:val="24"/>
        </w:rPr>
        <w:t>On December 31, 20X1 (subsequent to the preceding statements), Black exchanged 10,000 shares of its $10 par value common stock for all of the outstanding shares of Blue. Black's stock on that date has a fair value of $50 per share. Black was willing to issue 10,000 shares of stock because Blue's land was appraised at $204,000. Black also paid $14,000 to several attorneys and accountants who assisted in creating this combination.</w:t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i/>
          <w:iCs/>
          <w:color w:val="000000"/>
          <w:sz w:val="24"/>
          <w:szCs w:val="24"/>
        </w:rPr>
        <w:t>Required</w:t>
      </w:r>
      <w:proofErr w:type="gramStart"/>
      <w:r>
        <w:rPr>
          <w:rFonts w:ascii="Times" w:hAnsi="Times" w:cs="Times"/>
          <w:i/>
          <w:iCs/>
          <w:color w:val="000000"/>
          <w:sz w:val="24"/>
          <w:szCs w:val="24"/>
        </w:rPr>
        <w:t>:</w:t>
      </w:r>
      <w:proofErr w:type="gramEnd"/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color w:val="000000"/>
          <w:sz w:val="24"/>
          <w:szCs w:val="24"/>
        </w:rPr>
        <w:t>Assuming that these two companies retained their separate legal identities, prepare a consolidation worksheet as of December 31, 20X1 assuming the transaction is treated as a purchase combination. </w:t>
      </w:r>
    </w:p>
    <w:p w:rsidR="001C2967" w:rsidRDefault="001C2967" w:rsidP="001C2967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000000"/>
        </w:rPr>
      </w:pPr>
      <w:r>
        <w:rPr>
          <w:rFonts w:ascii="Times Roman" w:hAnsi="Times Roman" w:cs="Times Roman"/>
          <w:color w:val="000000"/>
        </w:rPr>
        <w:br/>
      </w:r>
      <w:r>
        <w:rPr>
          <w:rFonts w:ascii="Times" w:hAnsi="Times" w:cs="Times"/>
          <w:color w:val="000000"/>
        </w:rPr>
        <w:t> </w:t>
      </w:r>
    </w:p>
    <w:p w:rsidR="001C2967" w:rsidRDefault="001C2967" w:rsidP="001C2967">
      <w:pPr>
        <w:keepNext/>
        <w:keepLines/>
        <w:widowControl w:val="0"/>
        <w:autoSpaceDE w:val="0"/>
        <w:autoSpaceDN w:val="0"/>
        <w:adjustRightInd w:val="0"/>
        <w:spacing w:before="319" w:after="319" w:line="240" w:lineRule="auto"/>
        <w:rPr>
          <w:rFonts w:ascii="Times Roman" w:hAnsi="Times Roman" w:cs="Times Roman"/>
          <w:color w:val="000000"/>
          <w:sz w:val="24"/>
          <w:szCs w:val="24"/>
        </w:rPr>
      </w:pPr>
      <w:r>
        <w:rPr>
          <w:rFonts w:ascii="Times Roman" w:hAnsi="Times Roman" w:cs="Times Roman"/>
          <w:color w:val="000000"/>
        </w:rPr>
        <w:lastRenderedPageBreak/>
        <w:br/>
      </w:r>
      <w:r>
        <w:rPr>
          <w:rFonts w:ascii="Times" w:hAnsi="Times" w:cs="Times"/>
          <w:color w:val="000000"/>
        </w:rPr>
        <w:t> </w:t>
      </w:r>
      <w:r>
        <w:rPr>
          <w:rFonts w:ascii="Times" w:hAnsi="Times" w:cs="Times"/>
          <w:color w:val="000000"/>
          <w:sz w:val="24"/>
          <w:szCs w:val="24"/>
        </w:rPr>
        <w:t>2. On January 1, 2009, Rand Corp. issued shares of its common stock to acquire all of the outstanding common stock of Spaulding Inc. Spaulding's book value was only $140,000 at the time, but Rand issued 12,000 shares having a par value of $1 per share and a fair value of $20 per share. Rand was willing to convey these shares because it felt that buildings (ten-year life) were undervalued on Spaulding's records by $60,000 while equipment (five-year life) was undervalued by $25,000. Any consideration transferred over fair value of identified net assets acquired is assigned to goodwill.</w:t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color w:val="000000"/>
          <w:sz w:val="24"/>
          <w:szCs w:val="24"/>
        </w:rPr>
        <w:t>Following are the individual financial records for these two companies for the year ended December 31, 2012.</w:t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color w:val="000000"/>
          <w:sz w:val="24"/>
          <w:szCs w:val="24"/>
        </w:rPr>
        <w:t> </w:t>
      </w:r>
      <w:r>
        <w:rPr>
          <w:rFonts w:ascii="Times Roman" w:hAnsi="Times Roman" w:cs="Times Roman"/>
          <w:noProof/>
          <w:color w:val="000000"/>
          <w:sz w:val="24"/>
          <w:szCs w:val="24"/>
        </w:rPr>
        <w:drawing>
          <wp:inline distT="0" distB="0" distL="0" distR="0">
            <wp:extent cx="4448175" cy="3667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sz w:val="24"/>
          <w:szCs w:val="24"/>
        </w:rPr>
        <w:t> </w:t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i/>
          <w:iCs/>
          <w:color w:val="000000"/>
          <w:sz w:val="24"/>
          <w:szCs w:val="24"/>
        </w:rPr>
        <w:t>Required</w:t>
      </w:r>
      <w:proofErr w:type="gramStart"/>
      <w:r>
        <w:rPr>
          <w:rFonts w:ascii="Times" w:hAnsi="Times" w:cs="Times"/>
          <w:i/>
          <w:iCs/>
          <w:color w:val="000000"/>
          <w:sz w:val="24"/>
          <w:szCs w:val="24"/>
        </w:rPr>
        <w:t>:</w:t>
      </w:r>
      <w:proofErr w:type="gramEnd"/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color w:val="000000"/>
          <w:sz w:val="24"/>
          <w:szCs w:val="24"/>
        </w:rPr>
        <w:t>Prepare a consolidation worksheet for this business combination. </w:t>
      </w:r>
    </w:p>
    <w:p w:rsidR="001C2967" w:rsidRDefault="001C2967" w:rsidP="001C2967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000000"/>
        </w:rPr>
      </w:pPr>
      <w:r>
        <w:rPr>
          <w:rFonts w:ascii="Times Roman" w:hAnsi="Times Roman" w:cs="Times Roman"/>
          <w:color w:val="000000"/>
        </w:rPr>
        <w:br/>
      </w:r>
      <w:r>
        <w:rPr>
          <w:rFonts w:ascii="Times" w:hAnsi="Times" w:cs="Times"/>
          <w:color w:val="000000"/>
        </w:rPr>
        <w:t> </w:t>
      </w:r>
    </w:p>
    <w:p w:rsidR="001C2967" w:rsidRDefault="001C2967" w:rsidP="001C2967">
      <w:pPr>
        <w:keepNext/>
        <w:keepLines/>
        <w:widowControl w:val="0"/>
        <w:autoSpaceDE w:val="0"/>
        <w:autoSpaceDN w:val="0"/>
        <w:adjustRightInd w:val="0"/>
        <w:spacing w:before="319" w:after="319" w:line="240" w:lineRule="auto"/>
        <w:rPr>
          <w:rFonts w:ascii="Times Roman" w:hAnsi="Times Roman" w:cs="Times Roman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lastRenderedPageBreak/>
        <w:t>3. On January 1, 2011, John Doe Enterprises (JDE) acquired a 55% interest in Bubba Manufacturing, Inc. (BMI). JDE paid for the transaction with $3 million cash and 500,000 shares of JDE common stock (par value $1.00 per share). At the time of the acquisition, BMI's book value was $16,970,000.</w:t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color w:val="000000"/>
          <w:sz w:val="24"/>
          <w:szCs w:val="24"/>
        </w:rPr>
        <w:t>On January 1, JDE stock had a market value of $14.90 per share and there was no control premium in this transaction. Any consideration transferred over book value is assigned to goodwill. BMI had the following balances on January 1, 2011.</w:t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color w:val="000000"/>
          <w:sz w:val="24"/>
          <w:szCs w:val="24"/>
        </w:rPr>
        <w:t> </w:t>
      </w:r>
      <w:r>
        <w:rPr>
          <w:rFonts w:ascii="Times Roman" w:hAnsi="Times Roman" w:cs="Times Roman"/>
          <w:noProof/>
          <w:color w:val="000000"/>
          <w:sz w:val="24"/>
          <w:szCs w:val="24"/>
        </w:rPr>
        <w:drawing>
          <wp:inline distT="0" distB="0" distL="0" distR="0">
            <wp:extent cx="4657725" cy="866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sz w:val="24"/>
          <w:szCs w:val="24"/>
        </w:rPr>
        <w:t> </w:t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color w:val="000000"/>
          <w:sz w:val="24"/>
          <w:szCs w:val="24"/>
        </w:rPr>
        <w:t>For internal reporting purposes, JDE employed the equity method to account for this investment.</w:t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color w:val="000000"/>
          <w:sz w:val="24"/>
          <w:szCs w:val="24"/>
        </w:rPr>
        <w:t>The following account balances are for the year ending December 31, 2011 for both companies.</w:t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color w:val="000000"/>
          <w:sz w:val="24"/>
          <w:szCs w:val="24"/>
        </w:rPr>
        <w:t> </w:t>
      </w:r>
      <w:r>
        <w:rPr>
          <w:rFonts w:ascii="Times Roman" w:hAnsi="Times Roman" w:cs="Times Roman"/>
          <w:noProof/>
          <w:color w:val="000000"/>
          <w:sz w:val="24"/>
          <w:szCs w:val="24"/>
        </w:rPr>
        <w:drawing>
          <wp:inline distT="0" distB="0" distL="0" distR="0">
            <wp:extent cx="4810125" cy="4076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sz w:val="24"/>
          <w:szCs w:val="24"/>
        </w:rPr>
        <w:t> </w:t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i/>
          <w:iCs/>
          <w:color w:val="000000"/>
          <w:sz w:val="24"/>
          <w:szCs w:val="24"/>
        </w:rPr>
        <w:t>Required</w:t>
      </w:r>
      <w:proofErr w:type="gramStart"/>
      <w:r>
        <w:rPr>
          <w:rFonts w:ascii="Times" w:hAnsi="Times" w:cs="Times"/>
          <w:i/>
          <w:iCs/>
          <w:color w:val="000000"/>
          <w:sz w:val="24"/>
          <w:szCs w:val="24"/>
        </w:rPr>
        <w:t>:</w:t>
      </w:r>
      <w:proofErr w:type="gramEnd"/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 Roman" w:hAnsi="Times Roman" w:cs="Times Roman"/>
          <w:color w:val="000000"/>
          <w:sz w:val="24"/>
          <w:szCs w:val="24"/>
        </w:rPr>
        <w:br/>
      </w:r>
      <w:r>
        <w:rPr>
          <w:rFonts w:ascii="Times" w:hAnsi="Times" w:cs="Times"/>
          <w:color w:val="000000"/>
          <w:sz w:val="24"/>
          <w:szCs w:val="24"/>
        </w:rPr>
        <w:t>Prepare a consolidation worksheet for this business combination. Assume goodwill has been reviewed and there is no goodwill impairment. </w:t>
      </w:r>
    </w:p>
    <w:p w:rsidR="00186E0D" w:rsidRPr="001C2967" w:rsidRDefault="001C2967" w:rsidP="001C2967">
      <w:pPr>
        <w:rPr>
          <w:b/>
        </w:rPr>
      </w:pPr>
      <w:r>
        <w:rPr>
          <w:rFonts w:ascii="Times Roman" w:hAnsi="Times Roman" w:cs="Times Roman"/>
          <w:color w:val="000000"/>
        </w:rPr>
        <w:lastRenderedPageBreak/>
        <w:br/>
      </w:r>
      <w:r>
        <w:rPr>
          <w:b/>
        </w:rPr>
        <w:t>Please show all work!!!!!</w:t>
      </w:r>
      <w:bookmarkStart w:id="0" w:name="_GoBack"/>
      <w:bookmarkEnd w:id="0"/>
    </w:p>
    <w:sectPr w:rsidR="00186E0D" w:rsidRPr="001C29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967"/>
    <w:rsid w:val="00186E0D"/>
    <w:rsid w:val="001C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967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96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967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9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3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Shawntelle Boston</dc:creator>
  <cp:lastModifiedBy>Shawntelle Boston</cp:lastModifiedBy>
  <cp:revision>1</cp:revision>
  <dcterms:created xsi:type="dcterms:W3CDTF">2013-04-12T03:23:00Z</dcterms:created>
  <dcterms:modified xsi:type="dcterms:W3CDTF">2013-04-12T03:25:00Z</dcterms:modified>
</cp:coreProperties>
</file>