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13" w:rsidRPr="00446313" w:rsidRDefault="00446313" w:rsidP="0036699D">
      <w:pPr>
        <w:tabs>
          <w:tab w:val="left" w:pos="1080"/>
        </w:tabs>
        <w:rPr>
          <w:rFonts w:ascii="Arial" w:hAnsi="Arial" w:cs="Arial"/>
          <w:b/>
        </w:rPr>
      </w:pPr>
      <w:bookmarkStart w:id="0" w:name="_GoBack"/>
      <w:bookmarkEnd w:id="0"/>
    </w:p>
    <w:p w:rsidR="00446313" w:rsidRPr="00446313" w:rsidRDefault="00446313" w:rsidP="00446313">
      <w:pPr>
        <w:widowControl w:val="0"/>
        <w:autoSpaceDE w:val="0"/>
        <w:autoSpaceDN w:val="0"/>
        <w:adjustRightInd w:val="0"/>
        <w:spacing w:line="220" w:lineRule="exact"/>
        <w:rPr>
          <w:rFonts w:ascii="Arial" w:hAnsi="Arial" w:cs="Arial"/>
          <w:sz w:val="20"/>
          <w:szCs w:val="20"/>
        </w:rPr>
      </w:pPr>
      <w:r w:rsidRPr="00446313">
        <w:rPr>
          <w:rFonts w:ascii="Arial" w:hAnsi="Arial" w:cs="Arial"/>
          <w:sz w:val="20"/>
          <w:szCs w:val="20"/>
        </w:rPr>
        <w:t xml:space="preserve">1. Use a weighted scoring model to choose between three locations (A, B, C) for setting up a factory. The relative weights for each criterion are shown in the following table. </w:t>
      </w:r>
    </w:p>
    <w:p w:rsidR="00446313" w:rsidRPr="00446313" w:rsidRDefault="00446313" w:rsidP="00446313">
      <w:pPr>
        <w:widowControl w:val="0"/>
        <w:autoSpaceDE w:val="0"/>
        <w:autoSpaceDN w:val="0"/>
        <w:adjustRightInd w:val="0"/>
        <w:spacing w:line="220" w:lineRule="exact"/>
        <w:rPr>
          <w:rFonts w:ascii="Arial" w:hAnsi="Arial" w:cs="Arial"/>
          <w:sz w:val="20"/>
          <w:szCs w:val="20"/>
        </w:rPr>
      </w:pPr>
    </w:p>
    <w:p w:rsidR="00446313" w:rsidRPr="00446313" w:rsidRDefault="00446313" w:rsidP="00446313">
      <w:pPr>
        <w:widowControl w:val="0"/>
        <w:autoSpaceDE w:val="0"/>
        <w:autoSpaceDN w:val="0"/>
        <w:adjustRightInd w:val="0"/>
        <w:spacing w:line="220" w:lineRule="exact"/>
        <w:rPr>
          <w:rFonts w:ascii="Arial" w:hAnsi="Arial" w:cs="Arial"/>
          <w:sz w:val="20"/>
          <w:szCs w:val="20"/>
        </w:rPr>
      </w:pPr>
      <w:proofErr w:type="gramStart"/>
      <w:r w:rsidRPr="00446313">
        <w:rPr>
          <w:rFonts w:ascii="Arial" w:hAnsi="Arial" w:cs="Arial"/>
          <w:sz w:val="20"/>
          <w:szCs w:val="20"/>
        </w:rPr>
        <w:t>A score of 1 represents unfavorable, 2 satisfactory, and 3 favorable.</w:t>
      </w:r>
      <w:proofErr w:type="gramEnd"/>
    </w:p>
    <w:p w:rsidR="00446313" w:rsidRPr="00446313" w:rsidRDefault="00446313" w:rsidP="00446313">
      <w:pPr>
        <w:widowControl w:val="0"/>
        <w:autoSpaceDE w:val="0"/>
        <w:autoSpaceDN w:val="0"/>
        <w:adjustRightInd w:val="0"/>
        <w:spacing w:line="22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555"/>
        <w:gridCol w:w="849"/>
        <w:gridCol w:w="860"/>
        <w:gridCol w:w="336"/>
        <w:gridCol w:w="364"/>
      </w:tblGrid>
      <w:tr w:rsidR="00446313" w:rsidRPr="00446313" w:rsidTr="00950B44">
        <w:trPr>
          <w:trHeight w:val="192"/>
        </w:trPr>
        <w:tc>
          <w:tcPr>
            <w:tcW w:w="1555"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p>
        </w:tc>
        <w:tc>
          <w:tcPr>
            <w:tcW w:w="849"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p>
        </w:tc>
        <w:tc>
          <w:tcPr>
            <w:tcW w:w="860" w:type="dxa"/>
            <w:tcBorders>
              <w:top w:val="nil"/>
              <w:left w:val="nil"/>
              <w:bottom w:val="single" w:sz="4" w:space="0" w:color="auto"/>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Location</w:t>
            </w:r>
          </w:p>
        </w:tc>
        <w:tc>
          <w:tcPr>
            <w:tcW w:w="336" w:type="dxa"/>
            <w:tcBorders>
              <w:top w:val="nil"/>
              <w:left w:val="nil"/>
              <w:bottom w:val="single" w:sz="4" w:space="0" w:color="auto"/>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p>
        </w:tc>
        <w:tc>
          <w:tcPr>
            <w:tcW w:w="364" w:type="dxa"/>
            <w:tcBorders>
              <w:top w:val="nil"/>
              <w:left w:val="nil"/>
              <w:bottom w:val="single" w:sz="4" w:space="0" w:color="auto"/>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p>
        </w:tc>
      </w:tr>
      <w:tr w:rsidR="00446313" w:rsidRPr="00446313" w:rsidTr="00950B44">
        <w:trPr>
          <w:trHeight w:val="446"/>
        </w:trPr>
        <w:tc>
          <w:tcPr>
            <w:tcW w:w="1555" w:type="dxa"/>
            <w:tcBorders>
              <w:top w:val="nil"/>
              <w:left w:val="nil"/>
              <w:bottom w:val="single" w:sz="4" w:space="0" w:color="auto"/>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Category</w:t>
            </w:r>
          </w:p>
        </w:tc>
        <w:tc>
          <w:tcPr>
            <w:tcW w:w="849" w:type="dxa"/>
            <w:tcBorders>
              <w:top w:val="nil"/>
              <w:left w:val="nil"/>
              <w:bottom w:val="single" w:sz="4" w:space="0" w:color="auto"/>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Weight</w:t>
            </w:r>
          </w:p>
        </w:tc>
        <w:tc>
          <w:tcPr>
            <w:tcW w:w="860" w:type="dxa"/>
            <w:tcBorders>
              <w:top w:val="single" w:sz="4" w:space="0" w:color="auto"/>
              <w:left w:val="nil"/>
              <w:bottom w:val="single" w:sz="4" w:space="0" w:color="auto"/>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A</w:t>
            </w:r>
          </w:p>
        </w:tc>
        <w:tc>
          <w:tcPr>
            <w:tcW w:w="336" w:type="dxa"/>
            <w:tcBorders>
              <w:top w:val="single" w:sz="4" w:space="0" w:color="auto"/>
              <w:left w:val="nil"/>
              <w:bottom w:val="single" w:sz="4" w:space="0" w:color="auto"/>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B</w:t>
            </w:r>
          </w:p>
        </w:tc>
        <w:tc>
          <w:tcPr>
            <w:tcW w:w="364" w:type="dxa"/>
            <w:tcBorders>
              <w:top w:val="single" w:sz="4" w:space="0" w:color="auto"/>
              <w:left w:val="nil"/>
              <w:bottom w:val="single" w:sz="4" w:space="0" w:color="auto"/>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C</w:t>
            </w:r>
          </w:p>
        </w:tc>
      </w:tr>
      <w:tr w:rsidR="00446313" w:rsidRPr="00446313" w:rsidTr="00950B44">
        <w:trPr>
          <w:trHeight w:val="240"/>
        </w:trPr>
        <w:tc>
          <w:tcPr>
            <w:tcW w:w="1555" w:type="dxa"/>
            <w:tcBorders>
              <w:top w:val="single" w:sz="4" w:space="0" w:color="auto"/>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Labor costs</w:t>
            </w:r>
          </w:p>
        </w:tc>
        <w:tc>
          <w:tcPr>
            <w:tcW w:w="849" w:type="dxa"/>
            <w:tcBorders>
              <w:top w:val="single" w:sz="4" w:space="0" w:color="auto"/>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20</w:t>
            </w:r>
          </w:p>
        </w:tc>
        <w:tc>
          <w:tcPr>
            <w:tcW w:w="860" w:type="dxa"/>
            <w:tcBorders>
              <w:top w:val="single" w:sz="4" w:space="0" w:color="auto"/>
              <w:left w:val="nil"/>
              <w:bottom w:val="nil"/>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1</w:t>
            </w:r>
          </w:p>
        </w:tc>
        <w:tc>
          <w:tcPr>
            <w:tcW w:w="336" w:type="dxa"/>
            <w:tcBorders>
              <w:top w:val="single" w:sz="4" w:space="0" w:color="auto"/>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2</w:t>
            </w:r>
          </w:p>
        </w:tc>
        <w:tc>
          <w:tcPr>
            <w:tcW w:w="364" w:type="dxa"/>
            <w:tcBorders>
              <w:top w:val="single" w:sz="4" w:space="0" w:color="auto"/>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3</w:t>
            </w:r>
          </w:p>
        </w:tc>
      </w:tr>
      <w:tr w:rsidR="00446313" w:rsidRPr="00446313" w:rsidTr="00950B44">
        <w:trPr>
          <w:trHeight w:val="235"/>
        </w:trPr>
        <w:tc>
          <w:tcPr>
            <w:tcW w:w="1555"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Labor productivity</w:t>
            </w:r>
          </w:p>
        </w:tc>
        <w:tc>
          <w:tcPr>
            <w:tcW w:w="849"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20</w:t>
            </w:r>
          </w:p>
        </w:tc>
        <w:tc>
          <w:tcPr>
            <w:tcW w:w="860"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2</w:t>
            </w:r>
          </w:p>
        </w:tc>
        <w:tc>
          <w:tcPr>
            <w:tcW w:w="336"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3</w:t>
            </w:r>
          </w:p>
        </w:tc>
        <w:tc>
          <w:tcPr>
            <w:tcW w:w="364"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1</w:t>
            </w:r>
          </w:p>
        </w:tc>
      </w:tr>
      <w:tr w:rsidR="00446313" w:rsidRPr="00446313" w:rsidTr="00950B44">
        <w:trPr>
          <w:trHeight w:val="225"/>
        </w:trPr>
        <w:tc>
          <w:tcPr>
            <w:tcW w:w="1555"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Labor supply</w:t>
            </w:r>
          </w:p>
        </w:tc>
        <w:tc>
          <w:tcPr>
            <w:tcW w:w="849"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10</w:t>
            </w:r>
          </w:p>
        </w:tc>
        <w:tc>
          <w:tcPr>
            <w:tcW w:w="860"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2</w:t>
            </w:r>
          </w:p>
        </w:tc>
        <w:tc>
          <w:tcPr>
            <w:tcW w:w="336"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1</w:t>
            </w:r>
          </w:p>
        </w:tc>
        <w:tc>
          <w:tcPr>
            <w:tcW w:w="364"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3</w:t>
            </w:r>
          </w:p>
        </w:tc>
      </w:tr>
      <w:tr w:rsidR="00446313" w:rsidRPr="00446313" w:rsidTr="00950B44">
        <w:trPr>
          <w:trHeight w:val="201"/>
        </w:trPr>
        <w:tc>
          <w:tcPr>
            <w:tcW w:w="1555"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Union relations</w:t>
            </w:r>
          </w:p>
        </w:tc>
        <w:tc>
          <w:tcPr>
            <w:tcW w:w="849"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10</w:t>
            </w:r>
          </w:p>
        </w:tc>
        <w:tc>
          <w:tcPr>
            <w:tcW w:w="860"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3</w:t>
            </w:r>
          </w:p>
        </w:tc>
        <w:tc>
          <w:tcPr>
            <w:tcW w:w="336"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3</w:t>
            </w:r>
          </w:p>
        </w:tc>
        <w:tc>
          <w:tcPr>
            <w:tcW w:w="364"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2</w:t>
            </w:r>
          </w:p>
        </w:tc>
      </w:tr>
      <w:tr w:rsidR="00446313" w:rsidRPr="00446313" w:rsidTr="00950B44">
        <w:trPr>
          <w:trHeight w:val="240"/>
        </w:trPr>
        <w:tc>
          <w:tcPr>
            <w:tcW w:w="1555"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Material supply</w:t>
            </w:r>
          </w:p>
        </w:tc>
        <w:tc>
          <w:tcPr>
            <w:tcW w:w="849"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10</w:t>
            </w:r>
          </w:p>
        </w:tc>
        <w:tc>
          <w:tcPr>
            <w:tcW w:w="860"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2</w:t>
            </w:r>
          </w:p>
        </w:tc>
        <w:tc>
          <w:tcPr>
            <w:tcW w:w="336"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1</w:t>
            </w:r>
          </w:p>
        </w:tc>
        <w:tc>
          <w:tcPr>
            <w:tcW w:w="364"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1</w:t>
            </w:r>
          </w:p>
        </w:tc>
      </w:tr>
      <w:tr w:rsidR="00446313" w:rsidRPr="00446313" w:rsidTr="00950B44">
        <w:trPr>
          <w:trHeight w:val="216"/>
        </w:trPr>
        <w:tc>
          <w:tcPr>
            <w:tcW w:w="1555"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Transport costs</w:t>
            </w:r>
          </w:p>
        </w:tc>
        <w:tc>
          <w:tcPr>
            <w:tcW w:w="849"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25</w:t>
            </w:r>
          </w:p>
        </w:tc>
        <w:tc>
          <w:tcPr>
            <w:tcW w:w="860"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1</w:t>
            </w:r>
          </w:p>
        </w:tc>
        <w:tc>
          <w:tcPr>
            <w:tcW w:w="336"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2</w:t>
            </w:r>
          </w:p>
        </w:tc>
        <w:tc>
          <w:tcPr>
            <w:tcW w:w="364"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3</w:t>
            </w:r>
          </w:p>
        </w:tc>
      </w:tr>
      <w:tr w:rsidR="00446313" w:rsidRPr="00446313" w:rsidTr="00950B44">
        <w:trPr>
          <w:trHeight w:val="168"/>
        </w:trPr>
        <w:tc>
          <w:tcPr>
            <w:tcW w:w="1555"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Infrastructure</w:t>
            </w:r>
          </w:p>
        </w:tc>
        <w:tc>
          <w:tcPr>
            <w:tcW w:w="849"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5</w:t>
            </w:r>
          </w:p>
        </w:tc>
        <w:tc>
          <w:tcPr>
            <w:tcW w:w="860"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432"/>
              <w:rPr>
                <w:rFonts w:ascii="Arial" w:hAnsi="Arial" w:cs="Arial"/>
                <w:sz w:val="20"/>
                <w:szCs w:val="20"/>
              </w:rPr>
            </w:pPr>
            <w:r w:rsidRPr="00446313">
              <w:rPr>
                <w:rFonts w:ascii="Arial" w:hAnsi="Arial" w:cs="Arial"/>
                <w:sz w:val="20"/>
                <w:szCs w:val="20"/>
              </w:rPr>
              <w:t>2</w:t>
            </w:r>
          </w:p>
        </w:tc>
        <w:tc>
          <w:tcPr>
            <w:tcW w:w="336" w:type="dxa"/>
            <w:tcBorders>
              <w:top w:val="nil"/>
              <w:left w:val="nil"/>
              <w:bottom w:val="nil"/>
              <w:right w:val="nil"/>
            </w:tcBorders>
            <w:vAlign w:val="center"/>
          </w:tcPr>
          <w:p w:rsidR="00446313" w:rsidRPr="00446313" w:rsidRDefault="00446313" w:rsidP="00950B44">
            <w:pPr>
              <w:widowControl w:val="0"/>
              <w:autoSpaceDE w:val="0"/>
              <w:autoSpaceDN w:val="0"/>
              <w:adjustRightInd w:val="0"/>
              <w:ind w:right="24"/>
              <w:rPr>
                <w:rFonts w:ascii="Arial" w:hAnsi="Arial" w:cs="Arial"/>
                <w:sz w:val="20"/>
                <w:szCs w:val="20"/>
              </w:rPr>
            </w:pPr>
            <w:r w:rsidRPr="00446313">
              <w:rPr>
                <w:rFonts w:ascii="Arial" w:hAnsi="Arial" w:cs="Arial"/>
                <w:sz w:val="20"/>
                <w:szCs w:val="20"/>
              </w:rPr>
              <w:t>2</w:t>
            </w:r>
          </w:p>
        </w:tc>
        <w:tc>
          <w:tcPr>
            <w:tcW w:w="364" w:type="dxa"/>
            <w:tcBorders>
              <w:top w:val="nil"/>
              <w:left w:val="nil"/>
              <w:bottom w:val="nil"/>
              <w:right w:val="nil"/>
            </w:tcBorders>
            <w:vAlign w:val="center"/>
          </w:tcPr>
          <w:p w:rsidR="00446313" w:rsidRPr="00446313" w:rsidRDefault="00446313" w:rsidP="00950B44">
            <w:pPr>
              <w:widowControl w:val="0"/>
              <w:autoSpaceDE w:val="0"/>
              <w:autoSpaceDN w:val="0"/>
              <w:adjustRightInd w:val="0"/>
              <w:rPr>
                <w:rFonts w:ascii="Arial" w:hAnsi="Arial" w:cs="Arial"/>
                <w:sz w:val="20"/>
                <w:szCs w:val="20"/>
              </w:rPr>
            </w:pPr>
            <w:r w:rsidRPr="00446313">
              <w:rPr>
                <w:rFonts w:ascii="Arial" w:hAnsi="Arial" w:cs="Arial"/>
                <w:sz w:val="20"/>
                <w:szCs w:val="20"/>
              </w:rPr>
              <w:t>2</w:t>
            </w:r>
          </w:p>
        </w:tc>
      </w:tr>
    </w:tbl>
    <w:p w:rsidR="00446313" w:rsidRPr="00446313" w:rsidRDefault="00446313" w:rsidP="00446313">
      <w:pPr>
        <w:widowControl w:val="0"/>
        <w:autoSpaceDE w:val="0"/>
        <w:autoSpaceDN w:val="0"/>
        <w:adjustRightInd w:val="0"/>
        <w:spacing w:line="220" w:lineRule="exact"/>
        <w:rPr>
          <w:rFonts w:ascii="Arial" w:hAnsi="Arial" w:cs="Arial"/>
          <w:sz w:val="20"/>
          <w:szCs w:val="20"/>
        </w:rPr>
      </w:pPr>
    </w:p>
    <w:p w:rsidR="00520CA4" w:rsidRDefault="00520CA4" w:rsidP="00446313">
      <w:pPr>
        <w:rPr>
          <w:rFonts w:ascii="Arial" w:hAnsi="Arial" w:cs="Arial"/>
          <w:sz w:val="28"/>
        </w:rPr>
      </w:pPr>
    </w:p>
    <w:p w:rsidR="00520CA4" w:rsidRDefault="00520CA4">
      <w:pPr>
        <w:rPr>
          <w:rFonts w:ascii="Arial" w:hAnsi="Arial" w:cs="Arial"/>
          <w:sz w:val="28"/>
        </w:rPr>
      </w:pPr>
      <w:r>
        <w:rPr>
          <w:rFonts w:ascii="Arial" w:hAnsi="Arial" w:cs="Arial"/>
          <w:sz w:val="28"/>
        </w:rPr>
        <w:br w:type="page"/>
      </w:r>
    </w:p>
    <w:p w:rsidR="00520CA4" w:rsidRPr="00446313" w:rsidRDefault="00520CA4" w:rsidP="00520CA4">
      <w:pPr>
        <w:tabs>
          <w:tab w:val="left" w:pos="1080"/>
        </w:tabs>
        <w:rPr>
          <w:rFonts w:ascii="Arial" w:hAnsi="Arial" w:cs="Arial"/>
          <w:b/>
        </w:rPr>
      </w:pPr>
    </w:p>
    <w:p w:rsidR="00520CA4" w:rsidRPr="00446313" w:rsidRDefault="00520CA4" w:rsidP="00520CA4">
      <w:pPr>
        <w:widowControl w:val="0"/>
        <w:autoSpaceDE w:val="0"/>
        <w:autoSpaceDN w:val="0"/>
        <w:adjustRightInd w:val="0"/>
        <w:spacing w:line="220" w:lineRule="exact"/>
        <w:rPr>
          <w:rFonts w:ascii="Arial" w:hAnsi="Arial" w:cs="Arial"/>
          <w:sz w:val="20"/>
          <w:szCs w:val="20"/>
        </w:rPr>
      </w:pPr>
      <w:r w:rsidRPr="00446313">
        <w:rPr>
          <w:rFonts w:ascii="Arial" w:hAnsi="Arial" w:cs="Arial"/>
          <w:sz w:val="20"/>
          <w:szCs w:val="20"/>
        </w:rPr>
        <w:t>2. Nina is trying to decide in which of four shopping centers to locate her new boutique. Some cater to a higher class of clientele than others, some are in an indoor mall, some have a much greater volume than others, and, of course, rent varies considerably. Because of the nature of her store, she has decided that the class of clientele is the most important consideration. Following this, however, she must pay attention to her expenses, and rent is a major item-probably 90 percent as important as clientele. An indoor, temper</w:t>
      </w:r>
      <w:r w:rsidRPr="00446313">
        <w:rPr>
          <w:rFonts w:ascii="Arial" w:hAnsi="Arial" w:cs="Arial"/>
          <w:sz w:val="20"/>
          <w:szCs w:val="20"/>
        </w:rPr>
        <w:softHyphen/>
        <w:t>ature-controlled mall is a big help for stores such as hers where 70 percent of sales are from passersby slowly strolling and window shopping. Thus, she rates this as about 95 percent as important as rent. Last, a higher volume of shoppers means more potential sales; she thus rates this factor as 80 percent as important as rent.</w:t>
      </w:r>
    </w:p>
    <w:p w:rsidR="00520CA4" w:rsidRPr="00446313" w:rsidRDefault="00520CA4" w:rsidP="00520CA4">
      <w:pPr>
        <w:widowControl w:val="0"/>
        <w:autoSpaceDE w:val="0"/>
        <w:autoSpaceDN w:val="0"/>
        <w:adjustRightInd w:val="0"/>
        <w:spacing w:line="220" w:lineRule="exact"/>
        <w:rPr>
          <w:rFonts w:ascii="Arial" w:hAnsi="Arial" w:cs="Arial"/>
          <w:sz w:val="20"/>
          <w:szCs w:val="20"/>
        </w:rPr>
      </w:pPr>
    </w:p>
    <w:p w:rsidR="00520CA4" w:rsidRPr="00446313" w:rsidRDefault="00520CA4" w:rsidP="00520CA4">
      <w:pPr>
        <w:widowControl w:val="0"/>
        <w:autoSpaceDE w:val="0"/>
        <w:autoSpaceDN w:val="0"/>
        <w:adjustRightInd w:val="0"/>
        <w:spacing w:line="220" w:lineRule="exact"/>
        <w:rPr>
          <w:rFonts w:ascii="Arial" w:hAnsi="Arial" w:cs="Arial"/>
          <w:sz w:val="20"/>
          <w:szCs w:val="20"/>
        </w:rPr>
      </w:pPr>
      <w:r w:rsidRPr="00446313">
        <w:rPr>
          <w:rFonts w:ascii="Arial" w:hAnsi="Arial" w:cs="Arial"/>
          <w:sz w:val="20"/>
          <w:szCs w:val="20"/>
        </w:rPr>
        <w:t xml:space="preserve">As an aid in visualizing her location alternatives, she has constructed the following table. A "good" is scored as 3, "fair" as 2, and "poor" as 1. </w:t>
      </w:r>
    </w:p>
    <w:p w:rsidR="00520CA4" w:rsidRPr="00446313" w:rsidRDefault="00520CA4" w:rsidP="00520CA4">
      <w:pPr>
        <w:widowControl w:val="0"/>
        <w:autoSpaceDE w:val="0"/>
        <w:autoSpaceDN w:val="0"/>
        <w:adjustRightInd w:val="0"/>
        <w:spacing w:line="220" w:lineRule="exact"/>
        <w:rPr>
          <w:rFonts w:ascii="Arial" w:hAnsi="Arial" w:cs="Arial"/>
          <w:sz w:val="20"/>
          <w:szCs w:val="20"/>
        </w:rPr>
      </w:pPr>
    </w:p>
    <w:p w:rsidR="00520CA4" w:rsidRPr="00446313" w:rsidRDefault="00520CA4" w:rsidP="00520CA4">
      <w:pPr>
        <w:widowControl w:val="0"/>
        <w:autoSpaceDE w:val="0"/>
        <w:autoSpaceDN w:val="0"/>
        <w:adjustRightInd w:val="0"/>
        <w:spacing w:line="177" w:lineRule="exact"/>
        <w:rPr>
          <w:rFonts w:ascii="Arial" w:hAnsi="Arial" w:cs="Arial"/>
          <w:sz w:val="20"/>
          <w:szCs w:val="20"/>
        </w:rPr>
      </w:pPr>
      <w:r w:rsidRPr="00446313">
        <w:rPr>
          <w:rFonts w:ascii="Arial" w:hAnsi="Arial" w:cs="Arial"/>
          <w:sz w:val="20"/>
          <w:szCs w:val="20"/>
        </w:rPr>
        <w:t>Location</w:t>
      </w:r>
    </w:p>
    <w:tbl>
      <w:tblPr>
        <w:tblW w:w="0" w:type="auto"/>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454"/>
        <w:gridCol w:w="624"/>
        <w:gridCol w:w="629"/>
        <w:gridCol w:w="643"/>
        <w:gridCol w:w="504"/>
      </w:tblGrid>
      <w:tr w:rsidR="00520CA4" w:rsidRPr="00446313" w:rsidTr="00312F25">
        <w:trPr>
          <w:trHeight w:val="196"/>
        </w:trPr>
        <w:tc>
          <w:tcPr>
            <w:tcW w:w="1454" w:type="dxa"/>
            <w:tcBorders>
              <w:top w:val="nil"/>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p>
        </w:tc>
        <w:tc>
          <w:tcPr>
            <w:tcW w:w="624" w:type="dxa"/>
            <w:tcBorders>
              <w:top w:val="nil"/>
              <w:left w:val="nil"/>
              <w:bottom w:val="single" w:sz="4" w:space="0" w:color="auto"/>
              <w:right w:val="nil"/>
            </w:tcBorders>
            <w:vAlign w:val="center"/>
          </w:tcPr>
          <w:p w:rsidR="00520CA4" w:rsidRPr="00446313" w:rsidRDefault="00520CA4" w:rsidP="00312F25">
            <w:pPr>
              <w:widowControl w:val="0"/>
              <w:autoSpaceDE w:val="0"/>
              <w:autoSpaceDN w:val="0"/>
              <w:adjustRightInd w:val="0"/>
              <w:ind w:right="216"/>
              <w:rPr>
                <w:rFonts w:ascii="Arial" w:hAnsi="Arial" w:cs="Arial"/>
                <w:sz w:val="20"/>
                <w:szCs w:val="20"/>
              </w:rPr>
            </w:pPr>
            <w:r w:rsidRPr="00446313">
              <w:rPr>
                <w:rFonts w:ascii="Arial" w:hAnsi="Arial" w:cs="Arial"/>
                <w:sz w:val="20"/>
                <w:szCs w:val="20"/>
              </w:rPr>
              <w:t>1</w:t>
            </w:r>
          </w:p>
        </w:tc>
        <w:tc>
          <w:tcPr>
            <w:tcW w:w="629" w:type="dxa"/>
            <w:tcBorders>
              <w:top w:val="nil"/>
              <w:left w:val="nil"/>
              <w:bottom w:val="single" w:sz="4" w:space="0" w:color="auto"/>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2</w:t>
            </w:r>
          </w:p>
        </w:tc>
        <w:tc>
          <w:tcPr>
            <w:tcW w:w="643" w:type="dxa"/>
            <w:tcBorders>
              <w:top w:val="nil"/>
              <w:left w:val="nil"/>
              <w:bottom w:val="single" w:sz="4" w:space="0" w:color="auto"/>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3</w:t>
            </w:r>
          </w:p>
        </w:tc>
        <w:tc>
          <w:tcPr>
            <w:tcW w:w="504" w:type="dxa"/>
            <w:tcBorders>
              <w:top w:val="nil"/>
              <w:left w:val="nil"/>
              <w:bottom w:val="single" w:sz="4" w:space="0" w:color="auto"/>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4</w:t>
            </w:r>
          </w:p>
        </w:tc>
      </w:tr>
      <w:tr w:rsidR="00520CA4" w:rsidRPr="00446313" w:rsidTr="00312F25">
        <w:trPr>
          <w:trHeight w:val="302"/>
        </w:trPr>
        <w:tc>
          <w:tcPr>
            <w:tcW w:w="1454"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Class of clientele</w:t>
            </w:r>
          </w:p>
        </w:tc>
        <w:tc>
          <w:tcPr>
            <w:tcW w:w="624" w:type="dxa"/>
            <w:tcBorders>
              <w:top w:val="single" w:sz="4" w:space="0" w:color="auto"/>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fair</w:t>
            </w:r>
          </w:p>
        </w:tc>
        <w:tc>
          <w:tcPr>
            <w:tcW w:w="629" w:type="dxa"/>
            <w:tcBorders>
              <w:top w:val="single" w:sz="4" w:space="0" w:color="auto"/>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good</w:t>
            </w:r>
          </w:p>
        </w:tc>
        <w:tc>
          <w:tcPr>
            <w:tcW w:w="643" w:type="dxa"/>
            <w:tcBorders>
              <w:top w:val="single" w:sz="4" w:space="0" w:color="auto"/>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poor</w:t>
            </w:r>
          </w:p>
        </w:tc>
        <w:tc>
          <w:tcPr>
            <w:tcW w:w="504" w:type="dxa"/>
            <w:tcBorders>
              <w:top w:val="single" w:sz="4" w:space="0" w:color="auto"/>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good</w:t>
            </w:r>
          </w:p>
        </w:tc>
      </w:tr>
      <w:tr w:rsidR="00520CA4" w:rsidRPr="00446313" w:rsidTr="00312F25">
        <w:trPr>
          <w:trHeight w:val="220"/>
        </w:trPr>
        <w:tc>
          <w:tcPr>
            <w:tcW w:w="1454"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Rent</w:t>
            </w:r>
          </w:p>
        </w:tc>
        <w:tc>
          <w:tcPr>
            <w:tcW w:w="624"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good</w:t>
            </w:r>
          </w:p>
        </w:tc>
        <w:tc>
          <w:tcPr>
            <w:tcW w:w="629"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fair</w:t>
            </w:r>
          </w:p>
        </w:tc>
        <w:tc>
          <w:tcPr>
            <w:tcW w:w="643" w:type="dxa"/>
            <w:tcBorders>
              <w:top w:val="nil"/>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poor</w:t>
            </w:r>
          </w:p>
        </w:tc>
        <w:tc>
          <w:tcPr>
            <w:tcW w:w="504" w:type="dxa"/>
            <w:tcBorders>
              <w:top w:val="nil"/>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good</w:t>
            </w:r>
          </w:p>
        </w:tc>
      </w:tr>
      <w:tr w:rsidR="00520CA4" w:rsidRPr="00446313" w:rsidTr="00312F25">
        <w:trPr>
          <w:trHeight w:val="220"/>
        </w:trPr>
        <w:tc>
          <w:tcPr>
            <w:tcW w:w="1454"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Indoor mall</w:t>
            </w:r>
          </w:p>
        </w:tc>
        <w:tc>
          <w:tcPr>
            <w:tcW w:w="624"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good</w:t>
            </w:r>
          </w:p>
        </w:tc>
        <w:tc>
          <w:tcPr>
            <w:tcW w:w="629"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poor</w:t>
            </w:r>
          </w:p>
        </w:tc>
        <w:tc>
          <w:tcPr>
            <w:tcW w:w="643" w:type="dxa"/>
            <w:tcBorders>
              <w:top w:val="nil"/>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good</w:t>
            </w:r>
          </w:p>
        </w:tc>
        <w:tc>
          <w:tcPr>
            <w:tcW w:w="504" w:type="dxa"/>
            <w:tcBorders>
              <w:top w:val="nil"/>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poor</w:t>
            </w:r>
          </w:p>
        </w:tc>
      </w:tr>
      <w:tr w:rsidR="00520CA4" w:rsidRPr="00446313" w:rsidTr="00312F25">
        <w:trPr>
          <w:trHeight w:val="201"/>
        </w:trPr>
        <w:tc>
          <w:tcPr>
            <w:tcW w:w="1454"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Volume</w:t>
            </w:r>
          </w:p>
        </w:tc>
        <w:tc>
          <w:tcPr>
            <w:tcW w:w="624"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good</w:t>
            </w:r>
          </w:p>
        </w:tc>
        <w:tc>
          <w:tcPr>
            <w:tcW w:w="629" w:type="dxa"/>
            <w:tcBorders>
              <w:top w:val="nil"/>
              <w:left w:val="nil"/>
              <w:bottom w:val="nil"/>
              <w:right w:val="nil"/>
            </w:tcBorders>
            <w:vAlign w:val="center"/>
          </w:tcPr>
          <w:p w:rsidR="00520CA4" w:rsidRPr="00446313" w:rsidRDefault="00520CA4" w:rsidP="00312F25">
            <w:pPr>
              <w:widowControl w:val="0"/>
              <w:autoSpaceDE w:val="0"/>
              <w:autoSpaceDN w:val="0"/>
              <w:adjustRightInd w:val="0"/>
              <w:ind w:right="24"/>
              <w:rPr>
                <w:rFonts w:ascii="Arial" w:hAnsi="Arial" w:cs="Arial"/>
                <w:sz w:val="20"/>
                <w:szCs w:val="20"/>
              </w:rPr>
            </w:pPr>
            <w:r w:rsidRPr="00446313">
              <w:rPr>
                <w:rFonts w:ascii="Arial" w:hAnsi="Arial" w:cs="Arial"/>
                <w:sz w:val="20"/>
                <w:szCs w:val="20"/>
              </w:rPr>
              <w:t>fair</w:t>
            </w:r>
          </w:p>
        </w:tc>
        <w:tc>
          <w:tcPr>
            <w:tcW w:w="643" w:type="dxa"/>
            <w:tcBorders>
              <w:top w:val="nil"/>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good</w:t>
            </w:r>
          </w:p>
        </w:tc>
        <w:tc>
          <w:tcPr>
            <w:tcW w:w="504" w:type="dxa"/>
            <w:tcBorders>
              <w:top w:val="nil"/>
              <w:left w:val="nil"/>
              <w:bottom w:val="nil"/>
              <w:right w:val="nil"/>
            </w:tcBorders>
            <w:vAlign w:val="center"/>
          </w:tcPr>
          <w:p w:rsidR="00520CA4" w:rsidRPr="00446313" w:rsidRDefault="00520CA4" w:rsidP="00312F25">
            <w:pPr>
              <w:widowControl w:val="0"/>
              <w:autoSpaceDE w:val="0"/>
              <w:autoSpaceDN w:val="0"/>
              <w:adjustRightInd w:val="0"/>
              <w:rPr>
                <w:rFonts w:ascii="Arial" w:hAnsi="Arial" w:cs="Arial"/>
                <w:sz w:val="20"/>
                <w:szCs w:val="20"/>
              </w:rPr>
            </w:pPr>
            <w:r w:rsidRPr="00446313">
              <w:rPr>
                <w:rFonts w:ascii="Arial" w:hAnsi="Arial" w:cs="Arial"/>
                <w:sz w:val="20"/>
                <w:szCs w:val="20"/>
              </w:rPr>
              <w:t>poor</w:t>
            </w:r>
          </w:p>
        </w:tc>
      </w:tr>
    </w:tbl>
    <w:p w:rsidR="00520CA4" w:rsidRPr="00446313" w:rsidRDefault="00520CA4" w:rsidP="00520CA4">
      <w:pPr>
        <w:widowControl w:val="0"/>
        <w:autoSpaceDE w:val="0"/>
        <w:autoSpaceDN w:val="0"/>
        <w:adjustRightInd w:val="0"/>
        <w:spacing w:line="220" w:lineRule="exact"/>
        <w:rPr>
          <w:rFonts w:ascii="Arial" w:hAnsi="Arial" w:cs="Arial"/>
          <w:b/>
          <w:sz w:val="20"/>
          <w:szCs w:val="20"/>
        </w:rPr>
      </w:pPr>
    </w:p>
    <w:p w:rsidR="00520CA4" w:rsidRPr="00446313" w:rsidRDefault="00520CA4" w:rsidP="00520CA4">
      <w:pPr>
        <w:widowControl w:val="0"/>
        <w:autoSpaceDE w:val="0"/>
        <w:autoSpaceDN w:val="0"/>
        <w:adjustRightInd w:val="0"/>
        <w:spacing w:line="220" w:lineRule="exact"/>
        <w:rPr>
          <w:rFonts w:ascii="Arial" w:hAnsi="Arial" w:cs="Arial"/>
          <w:b/>
          <w:sz w:val="20"/>
          <w:szCs w:val="20"/>
        </w:rPr>
      </w:pPr>
      <w:r w:rsidRPr="00446313">
        <w:rPr>
          <w:rFonts w:ascii="Arial" w:hAnsi="Arial" w:cs="Arial"/>
          <w:b/>
          <w:sz w:val="20"/>
          <w:szCs w:val="20"/>
        </w:rPr>
        <w:t>Use a weighted score model to help Nina come to a decision.</w:t>
      </w:r>
    </w:p>
    <w:p w:rsidR="00520CA4" w:rsidRPr="00446313" w:rsidRDefault="00520CA4" w:rsidP="00520CA4">
      <w:pPr>
        <w:tabs>
          <w:tab w:val="left" w:pos="1080"/>
        </w:tabs>
        <w:rPr>
          <w:rFonts w:ascii="Arial" w:hAnsi="Arial" w:cs="Arial"/>
        </w:rPr>
      </w:pPr>
    </w:p>
    <w:p w:rsidR="00520CA4" w:rsidRPr="00446313" w:rsidRDefault="00520CA4" w:rsidP="00520CA4">
      <w:pPr>
        <w:pStyle w:val="BodyTextIndent"/>
        <w:rPr>
          <w:rFonts w:ascii="Arial" w:hAnsi="Arial" w:cs="Arial"/>
        </w:rPr>
      </w:pPr>
    </w:p>
    <w:p w:rsidR="00520CA4" w:rsidRPr="00446313" w:rsidRDefault="00520CA4" w:rsidP="00520CA4">
      <w:pPr>
        <w:tabs>
          <w:tab w:val="left" w:pos="1080"/>
        </w:tabs>
        <w:rPr>
          <w:rFonts w:ascii="Arial" w:hAnsi="Arial" w:cs="Arial"/>
        </w:rPr>
      </w:pPr>
    </w:p>
    <w:p w:rsidR="00446313" w:rsidRPr="00446313" w:rsidRDefault="00446313" w:rsidP="00446313">
      <w:pPr>
        <w:rPr>
          <w:rFonts w:ascii="Arial" w:hAnsi="Arial" w:cs="Arial"/>
          <w:sz w:val="28"/>
        </w:rPr>
      </w:pPr>
    </w:p>
    <w:sectPr w:rsidR="00446313" w:rsidRPr="00446313" w:rsidSect="00BE3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901"/>
    <w:multiLevelType w:val="hybridMultilevel"/>
    <w:tmpl w:val="13C83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710366"/>
    <w:multiLevelType w:val="singleLevel"/>
    <w:tmpl w:val="2C647FF8"/>
    <w:lvl w:ilvl="0">
      <w:start w:val="20"/>
      <w:numFmt w:val="decimal"/>
      <w:lvlText w:val="%1."/>
      <w:lvlJc w:val="left"/>
      <w:pPr>
        <w:tabs>
          <w:tab w:val="num" w:pos="360"/>
        </w:tabs>
        <w:ind w:left="360" w:hanging="360"/>
      </w:pPr>
      <w:rPr>
        <w:rFonts w:hint="default"/>
      </w:rPr>
    </w:lvl>
  </w:abstractNum>
  <w:abstractNum w:abstractNumId="2">
    <w:nsid w:val="5D913BF8"/>
    <w:multiLevelType w:val="singleLevel"/>
    <w:tmpl w:val="76202D6A"/>
    <w:lvl w:ilvl="0">
      <w:start w:val="2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9D"/>
    <w:rsid w:val="000109C9"/>
    <w:rsid w:val="000143FF"/>
    <w:rsid w:val="00023276"/>
    <w:rsid w:val="00025731"/>
    <w:rsid w:val="000260E1"/>
    <w:rsid w:val="000274DB"/>
    <w:rsid w:val="000304BB"/>
    <w:rsid w:val="00030BB2"/>
    <w:rsid w:val="00032C94"/>
    <w:rsid w:val="00034C77"/>
    <w:rsid w:val="00035600"/>
    <w:rsid w:val="000478D3"/>
    <w:rsid w:val="00053203"/>
    <w:rsid w:val="00053DCF"/>
    <w:rsid w:val="00070A2B"/>
    <w:rsid w:val="00075269"/>
    <w:rsid w:val="00080642"/>
    <w:rsid w:val="000827C7"/>
    <w:rsid w:val="00094D1D"/>
    <w:rsid w:val="000A4136"/>
    <w:rsid w:val="000A6960"/>
    <w:rsid w:val="000B20F9"/>
    <w:rsid w:val="000D6DC4"/>
    <w:rsid w:val="000E35CF"/>
    <w:rsid w:val="000E3859"/>
    <w:rsid w:val="000E7C67"/>
    <w:rsid w:val="000F2160"/>
    <w:rsid w:val="0010487B"/>
    <w:rsid w:val="00112433"/>
    <w:rsid w:val="0012037F"/>
    <w:rsid w:val="00123CC3"/>
    <w:rsid w:val="001245CF"/>
    <w:rsid w:val="0013514A"/>
    <w:rsid w:val="00141891"/>
    <w:rsid w:val="00150441"/>
    <w:rsid w:val="00154A9C"/>
    <w:rsid w:val="00155519"/>
    <w:rsid w:val="00155987"/>
    <w:rsid w:val="00156C18"/>
    <w:rsid w:val="001675A7"/>
    <w:rsid w:val="00170ED3"/>
    <w:rsid w:val="00176732"/>
    <w:rsid w:val="00180ED4"/>
    <w:rsid w:val="00180FF8"/>
    <w:rsid w:val="00193C85"/>
    <w:rsid w:val="001A0EBA"/>
    <w:rsid w:val="001A1FEE"/>
    <w:rsid w:val="001A2EB3"/>
    <w:rsid w:val="001A74B0"/>
    <w:rsid w:val="001A7987"/>
    <w:rsid w:val="001B103B"/>
    <w:rsid w:val="001B2E26"/>
    <w:rsid w:val="001B5925"/>
    <w:rsid w:val="001B6DAC"/>
    <w:rsid w:val="001C7C59"/>
    <w:rsid w:val="001D2017"/>
    <w:rsid w:val="001E361A"/>
    <w:rsid w:val="001F060D"/>
    <w:rsid w:val="001F06A1"/>
    <w:rsid w:val="00203DFF"/>
    <w:rsid w:val="002058F5"/>
    <w:rsid w:val="002067D8"/>
    <w:rsid w:val="00214867"/>
    <w:rsid w:val="0021763C"/>
    <w:rsid w:val="00221310"/>
    <w:rsid w:val="00231CD9"/>
    <w:rsid w:val="00235530"/>
    <w:rsid w:val="00237820"/>
    <w:rsid w:val="002442D9"/>
    <w:rsid w:val="002444FF"/>
    <w:rsid w:val="002524B9"/>
    <w:rsid w:val="002534F5"/>
    <w:rsid w:val="00257DE1"/>
    <w:rsid w:val="002600A8"/>
    <w:rsid w:val="00260422"/>
    <w:rsid w:val="00262490"/>
    <w:rsid w:val="00263F44"/>
    <w:rsid w:val="00267642"/>
    <w:rsid w:val="00272611"/>
    <w:rsid w:val="0027769F"/>
    <w:rsid w:val="0028156D"/>
    <w:rsid w:val="00282C23"/>
    <w:rsid w:val="002849F1"/>
    <w:rsid w:val="002A0B5B"/>
    <w:rsid w:val="002A136D"/>
    <w:rsid w:val="002A1852"/>
    <w:rsid w:val="002A4F33"/>
    <w:rsid w:val="002A69A8"/>
    <w:rsid w:val="002A767F"/>
    <w:rsid w:val="002C7918"/>
    <w:rsid w:val="002D6E6B"/>
    <w:rsid w:val="002E315A"/>
    <w:rsid w:val="002E5261"/>
    <w:rsid w:val="002F20CE"/>
    <w:rsid w:val="002F2103"/>
    <w:rsid w:val="00306A11"/>
    <w:rsid w:val="0030712A"/>
    <w:rsid w:val="00312045"/>
    <w:rsid w:val="0031674C"/>
    <w:rsid w:val="00323244"/>
    <w:rsid w:val="00324818"/>
    <w:rsid w:val="00324965"/>
    <w:rsid w:val="00325799"/>
    <w:rsid w:val="00342628"/>
    <w:rsid w:val="003450E3"/>
    <w:rsid w:val="0035171D"/>
    <w:rsid w:val="00355190"/>
    <w:rsid w:val="00357A1F"/>
    <w:rsid w:val="00362AFC"/>
    <w:rsid w:val="003655E9"/>
    <w:rsid w:val="0036699D"/>
    <w:rsid w:val="003676DC"/>
    <w:rsid w:val="00367819"/>
    <w:rsid w:val="00377524"/>
    <w:rsid w:val="003917B9"/>
    <w:rsid w:val="003940C9"/>
    <w:rsid w:val="003A1ACA"/>
    <w:rsid w:val="003A6A19"/>
    <w:rsid w:val="003B1B9C"/>
    <w:rsid w:val="003B5385"/>
    <w:rsid w:val="003B7A28"/>
    <w:rsid w:val="003C6699"/>
    <w:rsid w:val="003D13AA"/>
    <w:rsid w:val="003D2331"/>
    <w:rsid w:val="003E0CEE"/>
    <w:rsid w:val="003E27E9"/>
    <w:rsid w:val="003E2F25"/>
    <w:rsid w:val="003E4AF7"/>
    <w:rsid w:val="003E7445"/>
    <w:rsid w:val="003F463A"/>
    <w:rsid w:val="003F7255"/>
    <w:rsid w:val="003F7DE9"/>
    <w:rsid w:val="00402B5F"/>
    <w:rsid w:val="00403298"/>
    <w:rsid w:val="004110A0"/>
    <w:rsid w:val="004118FF"/>
    <w:rsid w:val="00427F5B"/>
    <w:rsid w:val="00430F6A"/>
    <w:rsid w:val="00435EFB"/>
    <w:rsid w:val="004405EF"/>
    <w:rsid w:val="0044129A"/>
    <w:rsid w:val="00446313"/>
    <w:rsid w:val="00460743"/>
    <w:rsid w:val="004611CF"/>
    <w:rsid w:val="00464C8A"/>
    <w:rsid w:val="00467FB7"/>
    <w:rsid w:val="004755D7"/>
    <w:rsid w:val="00481965"/>
    <w:rsid w:val="004836FC"/>
    <w:rsid w:val="004844CB"/>
    <w:rsid w:val="00490955"/>
    <w:rsid w:val="00497410"/>
    <w:rsid w:val="004C43BC"/>
    <w:rsid w:val="004D60AD"/>
    <w:rsid w:val="004D7E85"/>
    <w:rsid w:val="004F308B"/>
    <w:rsid w:val="004F3E28"/>
    <w:rsid w:val="004F58B8"/>
    <w:rsid w:val="005058D5"/>
    <w:rsid w:val="00520CA4"/>
    <w:rsid w:val="00527056"/>
    <w:rsid w:val="005348FD"/>
    <w:rsid w:val="005434FD"/>
    <w:rsid w:val="005435C6"/>
    <w:rsid w:val="00550330"/>
    <w:rsid w:val="00557889"/>
    <w:rsid w:val="00565C03"/>
    <w:rsid w:val="00571B5E"/>
    <w:rsid w:val="00572D91"/>
    <w:rsid w:val="00573171"/>
    <w:rsid w:val="005735A9"/>
    <w:rsid w:val="005773CE"/>
    <w:rsid w:val="00581512"/>
    <w:rsid w:val="005853EB"/>
    <w:rsid w:val="00587085"/>
    <w:rsid w:val="0059100F"/>
    <w:rsid w:val="0059133D"/>
    <w:rsid w:val="0059250B"/>
    <w:rsid w:val="005C3480"/>
    <w:rsid w:val="005C53BF"/>
    <w:rsid w:val="005D0705"/>
    <w:rsid w:val="005E3198"/>
    <w:rsid w:val="005E4CA2"/>
    <w:rsid w:val="005E6105"/>
    <w:rsid w:val="005E6707"/>
    <w:rsid w:val="005E7965"/>
    <w:rsid w:val="005F0E0C"/>
    <w:rsid w:val="005F0E83"/>
    <w:rsid w:val="005F7EB6"/>
    <w:rsid w:val="00603734"/>
    <w:rsid w:val="00616902"/>
    <w:rsid w:val="0061753E"/>
    <w:rsid w:val="00623A39"/>
    <w:rsid w:val="00625E26"/>
    <w:rsid w:val="00630FA5"/>
    <w:rsid w:val="00632C73"/>
    <w:rsid w:val="00636E46"/>
    <w:rsid w:val="006431B7"/>
    <w:rsid w:val="00643B33"/>
    <w:rsid w:val="00656303"/>
    <w:rsid w:val="0066498C"/>
    <w:rsid w:val="00671A19"/>
    <w:rsid w:val="00682471"/>
    <w:rsid w:val="00684A50"/>
    <w:rsid w:val="006939A2"/>
    <w:rsid w:val="00694B0A"/>
    <w:rsid w:val="006966CA"/>
    <w:rsid w:val="006B292D"/>
    <w:rsid w:val="006B3E54"/>
    <w:rsid w:val="006B4575"/>
    <w:rsid w:val="006C0313"/>
    <w:rsid w:val="006D00CE"/>
    <w:rsid w:val="006E351F"/>
    <w:rsid w:val="006F6291"/>
    <w:rsid w:val="006F7832"/>
    <w:rsid w:val="006F7EC4"/>
    <w:rsid w:val="007022D2"/>
    <w:rsid w:val="00707B8B"/>
    <w:rsid w:val="00712961"/>
    <w:rsid w:val="00714F32"/>
    <w:rsid w:val="00716116"/>
    <w:rsid w:val="00722C4D"/>
    <w:rsid w:val="00723AAB"/>
    <w:rsid w:val="00725E09"/>
    <w:rsid w:val="00726B57"/>
    <w:rsid w:val="00732F7A"/>
    <w:rsid w:val="00734EA5"/>
    <w:rsid w:val="00736E0A"/>
    <w:rsid w:val="0074228A"/>
    <w:rsid w:val="007422CA"/>
    <w:rsid w:val="00756A8A"/>
    <w:rsid w:val="0076116C"/>
    <w:rsid w:val="00765058"/>
    <w:rsid w:val="007668DC"/>
    <w:rsid w:val="00766925"/>
    <w:rsid w:val="00772568"/>
    <w:rsid w:val="0077594F"/>
    <w:rsid w:val="0077758C"/>
    <w:rsid w:val="00781505"/>
    <w:rsid w:val="007A0121"/>
    <w:rsid w:val="007A104C"/>
    <w:rsid w:val="007A550C"/>
    <w:rsid w:val="007C21F8"/>
    <w:rsid w:val="007D2A95"/>
    <w:rsid w:val="007E1848"/>
    <w:rsid w:val="007E302F"/>
    <w:rsid w:val="007E70C7"/>
    <w:rsid w:val="007E716D"/>
    <w:rsid w:val="007F0833"/>
    <w:rsid w:val="007F19A6"/>
    <w:rsid w:val="007F761D"/>
    <w:rsid w:val="00806274"/>
    <w:rsid w:val="00807F30"/>
    <w:rsid w:val="00810218"/>
    <w:rsid w:val="0081071B"/>
    <w:rsid w:val="00811564"/>
    <w:rsid w:val="00817897"/>
    <w:rsid w:val="0082413F"/>
    <w:rsid w:val="008248A5"/>
    <w:rsid w:val="00824FE3"/>
    <w:rsid w:val="00825DED"/>
    <w:rsid w:val="0082762E"/>
    <w:rsid w:val="00831465"/>
    <w:rsid w:val="00837B98"/>
    <w:rsid w:val="00840996"/>
    <w:rsid w:val="00852342"/>
    <w:rsid w:val="0085290D"/>
    <w:rsid w:val="00854B8E"/>
    <w:rsid w:val="00856878"/>
    <w:rsid w:val="00857EE6"/>
    <w:rsid w:val="0086511E"/>
    <w:rsid w:val="0087751B"/>
    <w:rsid w:val="008856BE"/>
    <w:rsid w:val="008921D9"/>
    <w:rsid w:val="00894A5F"/>
    <w:rsid w:val="008A0DD7"/>
    <w:rsid w:val="008B0062"/>
    <w:rsid w:val="008B3BF1"/>
    <w:rsid w:val="008B521F"/>
    <w:rsid w:val="008B5667"/>
    <w:rsid w:val="008C29F8"/>
    <w:rsid w:val="008C621A"/>
    <w:rsid w:val="008D42E9"/>
    <w:rsid w:val="008E1664"/>
    <w:rsid w:val="008F652B"/>
    <w:rsid w:val="009050F3"/>
    <w:rsid w:val="00910B78"/>
    <w:rsid w:val="00911F7A"/>
    <w:rsid w:val="00917AAD"/>
    <w:rsid w:val="009341D0"/>
    <w:rsid w:val="009362B4"/>
    <w:rsid w:val="00946C72"/>
    <w:rsid w:val="00961CC4"/>
    <w:rsid w:val="009621AD"/>
    <w:rsid w:val="0096420D"/>
    <w:rsid w:val="00971189"/>
    <w:rsid w:val="009730C8"/>
    <w:rsid w:val="009739CA"/>
    <w:rsid w:val="009802D8"/>
    <w:rsid w:val="009806A2"/>
    <w:rsid w:val="00985BB6"/>
    <w:rsid w:val="009908B2"/>
    <w:rsid w:val="00992008"/>
    <w:rsid w:val="009920B2"/>
    <w:rsid w:val="00994602"/>
    <w:rsid w:val="009A326F"/>
    <w:rsid w:val="009B28F6"/>
    <w:rsid w:val="009B3782"/>
    <w:rsid w:val="009B3AD8"/>
    <w:rsid w:val="009B5F37"/>
    <w:rsid w:val="009B6F9E"/>
    <w:rsid w:val="009C4FE5"/>
    <w:rsid w:val="009C6ECD"/>
    <w:rsid w:val="009D048E"/>
    <w:rsid w:val="009D3397"/>
    <w:rsid w:val="009E3C65"/>
    <w:rsid w:val="009E3EE3"/>
    <w:rsid w:val="009E4CC0"/>
    <w:rsid w:val="009E56E8"/>
    <w:rsid w:val="009F0B4C"/>
    <w:rsid w:val="00A07047"/>
    <w:rsid w:val="00A219BC"/>
    <w:rsid w:val="00A26922"/>
    <w:rsid w:val="00A31878"/>
    <w:rsid w:val="00A44975"/>
    <w:rsid w:val="00A45ADF"/>
    <w:rsid w:val="00A55D02"/>
    <w:rsid w:val="00A66430"/>
    <w:rsid w:val="00A730BB"/>
    <w:rsid w:val="00A926BE"/>
    <w:rsid w:val="00AA24CC"/>
    <w:rsid w:val="00AB1A5E"/>
    <w:rsid w:val="00AB50A5"/>
    <w:rsid w:val="00AB58C1"/>
    <w:rsid w:val="00AB6AFF"/>
    <w:rsid w:val="00AC1AF4"/>
    <w:rsid w:val="00AD0591"/>
    <w:rsid w:val="00AD15E3"/>
    <w:rsid w:val="00AD7C02"/>
    <w:rsid w:val="00AE0003"/>
    <w:rsid w:val="00AE12DF"/>
    <w:rsid w:val="00AE6E84"/>
    <w:rsid w:val="00AF1E51"/>
    <w:rsid w:val="00AF352F"/>
    <w:rsid w:val="00AF4C1E"/>
    <w:rsid w:val="00B00B7D"/>
    <w:rsid w:val="00B012AF"/>
    <w:rsid w:val="00B0546C"/>
    <w:rsid w:val="00B05693"/>
    <w:rsid w:val="00B10BF3"/>
    <w:rsid w:val="00B13F9D"/>
    <w:rsid w:val="00B16623"/>
    <w:rsid w:val="00B21D64"/>
    <w:rsid w:val="00B25310"/>
    <w:rsid w:val="00B41A48"/>
    <w:rsid w:val="00B47328"/>
    <w:rsid w:val="00B50264"/>
    <w:rsid w:val="00B5108A"/>
    <w:rsid w:val="00B553B3"/>
    <w:rsid w:val="00B556E9"/>
    <w:rsid w:val="00B600E1"/>
    <w:rsid w:val="00B63B19"/>
    <w:rsid w:val="00B64F7B"/>
    <w:rsid w:val="00B71F7A"/>
    <w:rsid w:val="00B743F9"/>
    <w:rsid w:val="00B7586B"/>
    <w:rsid w:val="00B860F9"/>
    <w:rsid w:val="00B87816"/>
    <w:rsid w:val="00B9483D"/>
    <w:rsid w:val="00B968A4"/>
    <w:rsid w:val="00BA6D4C"/>
    <w:rsid w:val="00BB4A94"/>
    <w:rsid w:val="00BB7537"/>
    <w:rsid w:val="00BC796A"/>
    <w:rsid w:val="00BD6248"/>
    <w:rsid w:val="00BD71BF"/>
    <w:rsid w:val="00BE31AF"/>
    <w:rsid w:val="00BE4DC4"/>
    <w:rsid w:val="00BE7630"/>
    <w:rsid w:val="00BF18C2"/>
    <w:rsid w:val="00C035D8"/>
    <w:rsid w:val="00C10A02"/>
    <w:rsid w:val="00C1728D"/>
    <w:rsid w:val="00C17E3C"/>
    <w:rsid w:val="00C20940"/>
    <w:rsid w:val="00C20A1B"/>
    <w:rsid w:val="00C259DF"/>
    <w:rsid w:val="00C26688"/>
    <w:rsid w:val="00C2673A"/>
    <w:rsid w:val="00C27249"/>
    <w:rsid w:val="00C27CC2"/>
    <w:rsid w:val="00C36689"/>
    <w:rsid w:val="00C534F3"/>
    <w:rsid w:val="00C539AE"/>
    <w:rsid w:val="00C579B5"/>
    <w:rsid w:val="00C643E1"/>
    <w:rsid w:val="00C73471"/>
    <w:rsid w:val="00C7616D"/>
    <w:rsid w:val="00C82EA7"/>
    <w:rsid w:val="00C8452C"/>
    <w:rsid w:val="00C85450"/>
    <w:rsid w:val="00C861C7"/>
    <w:rsid w:val="00C87B07"/>
    <w:rsid w:val="00C87F0E"/>
    <w:rsid w:val="00C955F8"/>
    <w:rsid w:val="00C95809"/>
    <w:rsid w:val="00CA36CC"/>
    <w:rsid w:val="00CA74D5"/>
    <w:rsid w:val="00CB3E85"/>
    <w:rsid w:val="00CB4E3F"/>
    <w:rsid w:val="00CC23CA"/>
    <w:rsid w:val="00CD08A2"/>
    <w:rsid w:val="00CD2ABB"/>
    <w:rsid w:val="00CD2D92"/>
    <w:rsid w:val="00CE3BCA"/>
    <w:rsid w:val="00CE5BAA"/>
    <w:rsid w:val="00CF1182"/>
    <w:rsid w:val="00CF4105"/>
    <w:rsid w:val="00CF4109"/>
    <w:rsid w:val="00D02D93"/>
    <w:rsid w:val="00D10749"/>
    <w:rsid w:val="00D303DF"/>
    <w:rsid w:val="00D339D8"/>
    <w:rsid w:val="00D341A8"/>
    <w:rsid w:val="00D40427"/>
    <w:rsid w:val="00D46091"/>
    <w:rsid w:val="00D4776F"/>
    <w:rsid w:val="00D52151"/>
    <w:rsid w:val="00D561F3"/>
    <w:rsid w:val="00D5762B"/>
    <w:rsid w:val="00D60383"/>
    <w:rsid w:val="00D64600"/>
    <w:rsid w:val="00D768C1"/>
    <w:rsid w:val="00D85085"/>
    <w:rsid w:val="00D93FD8"/>
    <w:rsid w:val="00DA3178"/>
    <w:rsid w:val="00DA4A0E"/>
    <w:rsid w:val="00DA5DCA"/>
    <w:rsid w:val="00DA64FD"/>
    <w:rsid w:val="00DB5395"/>
    <w:rsid w:val="00DB5CC8"/>
    <w:rsid w:val="00DC0F54"/>
    <w:rsid w:val="00DD4038"/>
    <w:rsid w:val="00DD476B"/>
    <w:rsid w:val="00DD590D"/>
    <w:rsid w:val="00DD6C71"/>
    <w:rsid w:val="00DE1C35"/>
    <w:rsid w:val="00DE368B"/>
    <w:rsid w:val="00DE6F47"/>
    <w:rsid w:val="00E033B0"/>
    <w:rsid w:val="00E03C83"/>
    <w:rsid w:val="00E05AC4"/>
    <w:rsid w:val="00E060D0"/>
    <w:rsid w:val="00E11F43"/>
    <w:rsid w:val="00E13A44"/>
    <w:rsid w:val="00E15F5B"/>
    <w:rsid w:val="00E2085C"/>
    <w:rsid w:val="00E27445"/>
    <w:rsid w:val="00E30B3F"/>
    <w:rsid w:val="00E344C2"/>
    <w:rsid w:val="00E40867"/>
    <w:rsid w:val="00E51143"/>
    <w:rsid w:val="00E52D73"/>
    <w:rsid w:val="00E764C9"/>
    <w:rsid w:val="00E77C44"/>
    <w:rsid w:val="00E86E8F"/>
    <w:rsid w:val="00E90D66"/>
    <w:rsid w:val="00E9185A"/>
    <w:rsid w:val="00E91AC4"/>
    <w:rsid w:val="00E97FDD"/>
    <w:rsid w:val="00EA2475"/>
    <w:rsid w:val="00EA33F6"/>
    <w:rsid w:val="00EA5E3D"/>
    <w:rsid w:val="00EB0144"/>
    <w:rsid w:val="00EC1136"/>
    <w:rsid w:val="00EC433F"/>
    <w:rsid w:val="00EC522F"/>
    <w:rsid w:val="00ED021A"/>
    <w:rsid w:val="00EE34FA"/>
    <w:rsid w:val="00EE3B67"/>
    <w:rsid w:val="00EE42EC"/>
    <w:rsid w:val="00EE4EB2"/>
    <w:rsid w:val="00EE6F47"/>
    <w:rsid w:val="00F028F4"/>
    <w:rsid w:val="00F074BD"/>
    <w:rsid w:val="00F2017E"/>
    <w:rsid w:val="00F26F9B"/>
    <w:rsid w:val="00F26FE5"/>
    <w:rsid w:val="00F31432"/>
    <w:rsid w:val="00F34810"/>
    <w:rsid w:val="00F423F4"/>
    <w:rsid w:val="00F4487D"/>
    <w:rsid w:val="00F478B0"/>
    <w:rsid w:val="00F500AE"/>
    <w:rsid w:val="00F50968"/>
    <w:rsid w:val="00F5496D"/>
    <w:rsid w:val="00F60B9A"/>
    <w:rsid w:val="00F62F03"/>
    <w:rsid w:val="00F63509"/>
    <w:rsid w:val="00F703B6"/>
    <w:rsid w:val="00F71486"/>
    <w:rsid w:val="00F7267F"/>
    <w:rsid w:val="00F72871"/>
    <w:rsid w:val="00F7536A"/>
    <w:rsid w:val="00F836E6"/>
    <w:rsid w:val="00F86AFE"/>
    <w:rsid w:val="00F90953"/>
    <w:rsid w:val="00F93A7F"/>
    <w:rsid w:val="00F95706"/>
    <w:rsid w:val="00F97C6C"/>
    <w:rsid w:val="00FB13EC"/>
    <w:rsid w:val="00FB4665"/>
    <w:rsid w:val="00FC02E7"/>
    <w:rsid w:val="00FC0CB9"/>
    <w:rsid w:val="00FC1BF0"/>
    <w:rsid w:val="00FC3357"/>
    <w:rsid w:val="00FC6254"/>
    <w:rsid w:val="00FD2218"/>
    <w:rsid w:val="00FD5236"/>
    <w:rsid w:val="00FE1E1D"/>
    <w:rsid w:val="00FE28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19BC"/>
    <w:pPr>
      <w:ind w:left="1080"/>
    </w:pPr>
    <w:rPr>
      <w:sz w:val="28"/>
      <w:szCs w:val="20"/>
      <w:lang w:val="en-US" w:eastAsia="en-US"/>
    </w:rPr>
  </w:style>
  <w:style w:type="character" w:customStyle="1" w:styleId="BodyTextIndentChar">
    <w:name w:val="Body Text Indent Char"/>
    <w:basedOn w:val="DefaultParagraphFont"/>
    <w:link w:val="BodyTextIndent"/>
    <w:rsid w:val="00A219BC"/>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9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19BC"/>
    <w:pPr>
      <w:ind w:left="1080"/>
    </w:pPr>
    <w:rPr>
      <w:sz w:val="28"/>
      <w:szCs w:val="20"/>
      <w:lang w:val="en-US" w:eastAsia="en-US"/>
    </w:rPr>
  </w:style>
  <w:style w:type="character" w:customStyle="1" w:styleId="BodyTextIndentChar">
    <w:name w:val="Body Text Indent Char"/>
    <w:basedOn w:val="DefaultParagraphFont"/>
    <w:link w:val="BodyTextIndent"/>
    <w:rsid w:val="00A219BC"/>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Milan Frankl</dc:creator>
  <cp:lastModifiedBy>mee-chong</cp:lastModifiedBy>
  <cp:revision>2</cp:revision>
  <dcterms:created xsi:type="dcterms:W3CDTF">2013-04-06T05:23:00Z</dcterms:created>
  <dcterms:modified xsi:type="dcterms:W3CDTF">2013-04-06T05:23:00Z</dcterms:modified>
</cp:coreProperties>
</file>