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Pr="00AE4DED" w:rsidRDefault="00AE4DED" w:rsidP="00AE4DED">
      <w:bookmarkStart w:id="0" w:name="_GoBack"/>
      <w:bookmarkEnd w:id="0"/>
      <w:r w:rsidRPr="00AE4DED">
        <w:t xml:space="preserve">The comparative balance sheet of Mills Engine Co. at December 31, 2013 and </w:t>
      </w:r>
      <w:proofErr w:type="gramStart"/>
      <w:r w:rsidRPr="00AE4DED">
        <w:t>2012,</w:t>
      </w:r>
      <w:proofErr w:type="gramEnd"/>
      <w:r w:rsidRPr="00AE4DED">
        <w:t xml:space="preserve"> is as follows: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6"/>
        <w:gridCol w:w="1850"/>
        <w:gridCol w:w="237"/>
        <w:gridCol w:w="1850"/>
        <w:gridCol w:w="237"/>
      </w:tblGrid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     Dec. 31,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     Dec. 31, 2012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Assets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Cash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$ 741,530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$ 799,300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Accounts receivable (net)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674,790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615,470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Inventories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1,023,310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941,740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Prepaid expenses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23,730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28,180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Land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255,090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385,600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Buildings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1,179,030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726,700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Accumulated depreciation-buildings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(333,690)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(311,440)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Equipment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415,260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367,060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Accumulated depreciation-equipment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(114,200)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(128,280)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$3,864,850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$3,424,330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E4DED" w:rsidRPr="00AE4DED" w:rsidRDefault="00AE4DED" w:rsidP="00AE4DED">
            <w:r w:rsidRPr="00AE4DED">
              <w:t>Liabilities and Stockholders Equity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Accounts payable (merchandise creditors)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$ 734,320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$ 774,900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Bonds payable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216,430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Common stock, $20 par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254,000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94,000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Paid-in capital in excess of par-common stock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611,000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451,000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Retained earnings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2,049,100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2,104,430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$3,864,850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$3,424,330</w:t>
            </w:r>
          </w:p>
        </w:tc>
      </w:tr>
    </w:tbl>
    <w:p w:rsidR="00AE4DED" w:rsidRPr="00AE4DED" w:rsidRDefault="00AE4DED" w:rsidP="00AE4DED">
      <w:r w:rsidRPr="00AE4DED">
        <w:t>The noncurrent asset, noncurrent liability, and stockholders' equity accounts for 2013 are as follows: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5"/>
        <w:gridCol w:w="4496"/>
        <w:gridCol w:w="845"/>
        <w:gridCol w:w="1196"/>
        <w:gridCol w:w="1196"/>
        <w:gridCol w:w="932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lastRenderedPageBreak/>
              <w:t>ACCOUNT Land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385,600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Apr. 20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Realized $121,400 cash from sale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130,510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255,090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0"/>
        <w:gridCol w:w="2956"/>
        <w:gridCol w:w="1455"/>
        <w:gridCol w:w="1133"/>
        <w:gridCol w:w="1753"/>
        <w:gridCol w:w="1133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Buildings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726,700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Apr. 20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Acquired for cash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452,330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1,179,030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2"/>
        <w:gridCol w:w="3927"/>
        <w:gridCol w:w="1134"/>
        <w:gridCol w:w="1074"/>
        <w:gridCol w:w="879"/>
        <w:gridCol w:w="1244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E4DED" w:rsidRPr="00AE4DED" w:rsidRDefault="00AE4DED" w:rsidP="00AE4DED">
            <w:r w:rsidRPr="00AE4DED">
              <w:t>ACCOUNT Accumulated Depreciation-Buildings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311,440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31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Depreciation for year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22,250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333,690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2"/>
        <w:gridCol w:w="3497"/>
        <w:gridCol w:w="1215"/>
        <w:gridCol w:w="1215"/>
        <w:gridCol w:w="1406"/>
        <w:gridCol w:w="1095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Equipment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367,060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lastRenderedPageBreak/>
              <w:t>Jan. 26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Discarded, no salvage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40,400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326,660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Aug. 11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Purchased for cash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88,600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415,260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9"/>
        <w:gridCol w:w="4344"/>
        <w:gridCol w:w="945"/>
        <w:gridCol w:w="945"/>
        <w:gridCol w:w="773"/>
        <w:gridCol w:w="1094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Accumulated Depreciation-Equipment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128,280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26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Equipment discarded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40,400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87,880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31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Depreciation for year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26,320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114,200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2"/>
        <w:gridCol w:w="3582"/>
        <w:gridCol w:w="1036"/>
        <w:gridCol w:w="1467"/>
        <w:gridCol w:w="1036"/>
        <w:gridCol w:w="1467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E4DED" w:rsidRPr="00AE4DED" w:rsidRDefault="00AE4DED" w:rsidP="00AE4DED">
            <w:r w:rsidRPr="00AE4DED">
              <w:t xml:space="preserve">ACCOUNT Bonds Payable 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May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Issued 20-year bonds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216,430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216,430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"/>
        <w:gridCol w:w="4482"/>
        <w:gridCol w:w="885"/>
        <w:gridCol w:w="1253"/>
        <w:gridCol w:w="885"/>
        <w:gridCol w:w="1253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E4DED" w:rsidRPr="00AE4DED" w:rsidRDefault="00AE4DED" w:rsidP="00AE4DED">
            <w:r w:rsidRPr="00AE4DED">
              <w:t>ACCOUNT Common Stock, $ 20 par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94,000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7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Issued 8,000 shares of common</w:t>
            </w:r>
            <w:r w:rsidRPr="00AE4DED">
              <w:br/>
              <w:t>stock for $40 per share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160,000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254,000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8"/>
        <w:gridCol w:w="4817"/>
        <w:gridCol w:w="950"/>
        <w:gridCol w:w="1077"/>
        <w:gridCol w:w="761"/>
        <w:gridCol w:w="1077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E4DED" w:rsidRPr="00AE4DED" w:rsidRDefault="00AE4DED" w:rsidP="00AE4DED">
            <w:r w:rsidRPr="00AE4DED">
              <w:t>ACCOUNT Paid-in Capital in Excess of Par-Common Stock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451,000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7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Issued 8,000 shares of common</w:t>
            </w:r>
            <w:r w:rsidRPr="00AE4DED">
              <w:br/>
              <w:t>stock for $40 per share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160,000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611,000</w:t>
            </w:r>
          </w:p>
        </w:tc>
      </w:tr>
    </w:tbl>
    <w:p w:rsidR="00AE4DED" w:rsidRPr="00AE4DED" w:rsidRDefault="00AE4DED" w:rsidP="00AE4DED"/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8"/>
        <w:gridCol w:w="3041"/>
        <w:gridCol w:w="1237"/>
        <w:gridCol w:w="1116"/>
        <w:gridCol w:w="1012"/>
        <w:gridCol w:w="1726"/>
      </w:tblGrid>
      <w:tr w:rsidR="00AE4DED" w:rsidRPr="00AE4DED" w:rsidTr="00AE4D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Retained Earnings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ACCOUNT NO.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Date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Item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2013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Debit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Credit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Jan. 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Balance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2,104,430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31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Net loss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26,640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2,077,790</w:t>
            </w:r>
          </w:p>
        </w:tc>
      </w:tr>
      <w:tr w:rsidR="00AE4DED" w:rsidRPr="00AE4DED" w:rsidTr="00AE4D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Dec. 31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Cash dividends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28,690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 </w:t>
            </w:r>
          </w:p>
        </w:tc>
        <w:tc>
          <w:tcPr>
            <w:tcW w:w="0" w:type="auto"/>
            <w:vAlign w:val="center"/>
            <w:hideMark/>
          </w:tcPr>
          <w:p w:rsidR="00AE4DED" w:rsidRPr="00AE4DED" w:rsidRDefault="00AE4DED" w:rsidP="00AE4DED">
            <w:r w:rsidRPr="00AE4DED">
              <w:t>2,049,100</w:t>
            </w:r>
          </w:p>
        </w:tc>
      </w:tr>
    </w:tbl>
    <w:p w:rsidR="00AE4DED" w:rsidRPr="00AE4DED" w:rsidRDefault="00AE4DED" w:rsidP="00AE4DED">
      <w:r w:rsidRPr="00AE4DED">
        <w:rPr>
          <w:rFonts w:eastAsiaTheme="minorHAnsi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in;height:18pt" o:ole="">
            <v:imagedata r:id="rId6" o:title=""/>
          </v:shape>
          <w:control r:id="rId7" w:name="DefaultOcxName" w:shapeid="_x0000_i1104"/>
        </w:object>
      </w:r>
      <w:r w:rsidRPr="00AE4DED">
        <w:rPr>
          <w:rFonts w:eastAsiaTheme="minorHAnsi"/>
          <w:lang w:val="en-US" w:eastAsia="en-US"/>
        </w:rPr>
        <w:object w:dxaOrig="225" w:dyaOrig="225">
          <v:shape id="_x0000_i1107" type="#_x0000_t75" style="width:1in;height:18pt" o:ole="">
            <v:imagedata r:id="rId8" o:title=""/>
          </v:shape>
          <w:control r:id="rId9" w:name="DefaultOcxName1" w:shapeid="_x0000_i1107"/>
        </w:object>
      </w:r>
      <w:r w:rsidRPr="00AE4DED"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E4DED" w:rsidRPr="00AE4DED" w:rsidTr="00AE4DED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891"/>
              <w:gridCol w:w="135"/>
            </w:tblGrid>
            <w:tr w:rsidR="00AE4DED" w:rsidRPr="00AE4DED" w:rsidTr="00AE4DED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AE4DED" w:rsidRPr="00AE4DED" w:rsidRDefault="00AE4DED" w:rsidP="00AE4DED"/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E4DED" w:rsidRPr="00AE4DED" w:rsidRDefault="00AE4DED" w:rsidP="00AE4DED"/>
              </w:tc>
              <w:tc>
                <w:tcPr>
                  <w:tcW w:w="4950" w:type="pct"/>
                  <w:vAlign w:val="center"/>
                  <w:hideMark/>
                </w:tcPr>
                <w:p w:rsidR="00AE4DED" w:rsidRPr="00AE4DED" w:rsidRDefault="00AE4DED" w:rsidP="00AE4DED"/>
              </w:tc>
              <w:tc>
                <w:tcPr>
                  <w:tcW w:w="250" w:type="pct"/>
                  <w:noWrap/>
                  <w:vAlign w:val="center"/>
                  <w:hideMark/>
                </w:tcPr>
                <w:p w:rsidR="00AE4DED" w:rsidRPr="00AE4DED" w:rsidRDefault="00AE4DED" w:rsidP="00AE4DED"/>
              </w:tc>
            </w:tr>
          </w:tbl>
          <w:p w:rsidR="00AE4DED" w:rsidRPr="00AE4DED" w:rsidRDefault="00AE4DED" w:rsidP="00AE4DED">
            <w:r w:rsidRPr="00AE4DED">
              <w:t xml:space="preserve">Prepare a statement of cash flows, using the indirect method of presenting cash flows from operating activities. If needed, use the minus sign to indicate cash outflows, negative amounts, net loss, or a decrease in cash. </w:t>
            </w:r>
          </w:p>
          <w:p w:rsidR="00AE4DED" w:rsidRPr="00AE4DED" w:rsidRDefault="00AE4DED" w:rsidP="00AE4DED">
            <w:r w:rsidRPr="00AE4DED">
              <w:br/>
            </w:r>
            <w:r w:rsidRPr="00AE4DED"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4"/>
              <w:gridCol w:w="6"/>
              <w:gridCol w:w="1266"/>
              <w:gridCol w:w="6"/>
              <w:gridCol w:w="1266"/>
              <w:gridCol w:w="6"/>
              <w:gridCol w:w="1266"/>
            </w:tblGrid>
            <w:tr w:rsidR="00AE4DED" w:rsidRPr="00AE4DED" w:rsidTr="00AE4DED">
              <w:trPr>
                <w:tblCellSpacing w:w="0" w:type="dxa"/>
              </w:trPr>
              <w:tc>
                <w:tcPr>
                  <w:tcW w:w="0" w:type="auto"/>
                  <w:gridSpan w:val="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5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Mills Engine Co.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10" type="#_x0000_t75" style="width:1in;height:18pt" o:ole="">
                              <v:imagedata r:id="rId10" o:title=""/>
                            </v:shape>
                            <w:control r:id="rId11" w:name="DefaultOcxName62" w:shapeid="_x0000_i1110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2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Statement of Cash Flows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13" type="#_x0000_t75" style="width:1in;height:18pt" o:ole="">
                              <v:imagedata r:id="rId12" o:title=""/>
                            </v:shape>
                            <w:control r:id="rId13" w:name="DefaultOcxName110" w:shapeid="_x0000_i1113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0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For the Year Ended December 31, 2013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16" type="#_x0000_t75" style="width:1in;height:18pt" o:ole="">
                              <v:imagedata r:id="rId14" o:title=""/>
                            </v:shape>
                            <w:control r:id="rId15" w:name="DefaultOcxName2" w:shapeid="_x0000_i1116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Cash flows from operating activities: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19" type="#_x0000_t75" style="width:1in;height:18pt" o:ole="">
                              <v:imagedata r:id="rId16" o:title=""/>
                            </v:shape>
                            <w:control r:id="rId17" w:name="DefaultOcxName3" w:shapeid="_x0000_i1119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23" type="#_x0000_t75" style="width:53.25pt;height:18pt" o:ole="">
                              <v:imagedata r:id="rId18" o:title=""/>
                            </v:shape>
                            <w:control r:id="rId19" w:name="DefaultOcxName4" w:shapeid="_x0000_i112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27" type="#_x0000_t75" style="width:53.25pt;height:18pt" o:ole="">
                              <v:imagedata r:id="rId20" o:title=""/>
                            </v:shape>
                            <w:control r:id="rId21" w:name="DefaultOcxName5" w:shapeid="_x0000_i1127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Depreciation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Dividends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Net loss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Loss on sale of land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5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31" type="#_x0000_t75" style="width:53.25pt;height:18pt" o:ole="">
                              <v:imagedata r:id="rId20" o:title=""/>
                            </v:shape>
                            <w:control r:id="rId22" w:name="DefaultOcxName6" w:shapeid="_x0000_i1131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6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Adjustments to reconcile net income to net cash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 xml:space="preserve">flow from operating activities: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34" type="#_x0000_t75" style="width:1in;height:18pt" o:ole="">
                              <v:imagedata r:id="rId23" o:title=""/>
                            </v:shape>
                            <w:control r:id="rId24" w:name="DefaultOcxName7" w:shapeid="_x0000_i1134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38" type="#_x0000_t75" style="width:53.25pt;height:18pt" o:ole="">
                              <v:imagedata r:id="rId20" o:title=""/>
                            </v:shape>
                            <w:control r:id="rId25" w:name="DefaultOcxName8" w:shapeid="_x0000_i1138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42" type="#_x0000_t75" style="width:53.25pt;height:18pt" o:ole="">
                              <v:imagedata r:id="rId20" o:title=""/>
                            </v:shape>
                            <w:control r:id="rId26" w:name="DefaultOcxName9" w:shapeid="_x0000_i1142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accounts receivable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Depreciation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Gain on sale of land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receivable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8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46" type="#_x0000_t75" style="width:53.25pt;height:18pt" o:ole="">
                              <v:imagedata r:id="rId20" o:title=""/>
                            </v:shape>
                            <w:control r:id="rId27" w:name="DefaultOcxName10" w:shapeid="_x0000_i1146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9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50" type="#_x0000_t75" style="width:53.25pt;height:18pt" o:ole="">
                              <v:imagedata r:id="rId20" o:title=""/>
                            </v:shape>
                            <w:control r:id="rId28" w:name="DefaultOcxName11" w:shapeid="_x0000_i1150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54" type="#_x0000_t75" style="width:53.25pt;height:18pt" o:ole="">
                              <v:imagedata r:id="rId20" o:title=""/>
                            </v:shape>
                            <w:control r:id="rId29" w:name="DefaultOcxName12" w:shapeid="_x0000_i1154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Gain on sale of land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Loss on sale of land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10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58" type="#_x0000_t75" style="width:53.25pt;height:18pt" o:ole="">
                              <v:imagedata r:id="rId20" o:title=""/>
                            </v:shape>
                            <w:control r:id="rId30" w:name="DefaultOcxName13" w:shapeid="_x0000_i1158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11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Changes in current operating assets and liabilities: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61" type="#_x0000_t75" style="width:1in;height:18pt" o:ole="">
                              <v:imagedata r:id="rId31" o:title=""/>
                            </v:shape>
                            <w:control r:id="rId32" w:name="DefaultOcxName14" w:shapeid="_x0000_i1161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65" type="#_x0000_t75" style="width:53.25pt;height:18pt" o:ole="">
                              <v:imagedata r:id="rId20" o:title=""/>
                            </v:shape>
                            <w:control r:id="rId33" w:name="DefaultOcxName15" w:shapeid="_x0000_i116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69" type="#_x0000_t75" style="width:53.25pt;height:18pt" o:ole="">
                              <v:imagedata r:id="rId20" o:title=""/>
                            </v:shape>
                            <w:control r:id="rId34" w:name="DefaultOcxName16" w:shapeid="_x0000_i1169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accounts receivable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Depreciation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receivable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13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73" type="#_x0000_t75" style="width:53.25pt;height:18pt" o:ole="">
                              <v:imagedata r:id="rId20" o:title=""/>
                            </v:shape>
                            <w:control r:id="rId35" w:name="DefaultOcxName17" w:shapeid="_x0000_i117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14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77" type="#_x0000_t75" style="width:53.25pt;height:18pt" o:ole="">
                              <v:imagedata r:id="rId20" o:title=""/>
                            </v:shape>
                            <w:control r:id="rId36" w:name="DefaultOcxName18" w:shapeid="_x0000_i1177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81" type="#_x0000_t75" style="width:53.25pt;height:18pt" o:ole="">
                              <v:imagedata r:id="rId20" o:title=""/>
                            </v:shape>
                            <w:control r:id="rId37" w:name="DefaultOcxName19" w:shapeid="_x0000_i1181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5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5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accounts receivable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5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5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5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inventories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15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85" type="#_x0000_t75" style="width:53.25pt;height:18pt" o:ole="">
                              <v:imagedata r:id="rId20" o:title=""/>
                            </v:shape>
                            <w:control r:id="rId38" w:name="DefaultOcxName20" w:shapeid="_x0000_i118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16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89" type="#_x0000_t75" style="width:53.25pt;height:18pt" o:ole="">
                              <v:imagedata r:id="rId20" o:title=""/>
                            </v:shape>
                            <w:control r:id="rId39" w:name="DefaultOcxName21" w:shapeid="_x0000_i1189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93" type="#_x0000_t75" style="width:53.25pt;height:18pt" o:ole="">
                              <v:imagedata r:id="rId20" o:title=""/>
                            </v:shape>
                            <w:control r:id="rId40" w:name="DefaultOcxName22" w:shapeid="_x0000_i1193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6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6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6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prepaid expenses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6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6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prepaid expenses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17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197" type="#_x0000_t75" style="width:53.25pt;height:18pt" o:ole="">
                              <v:imagedata r:id="rId20" o:title=""/>
                            </v:shape>
                            <w:control r:id="rId41" w:name="DefaultOcxName23" w:shapeid="_x0000_i1197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18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01" type="#_x0000_t75" style="width:53.25pt;height:18pt" o:ole="">
                              <v:imagedata r:id="rId20" o:title=""/>
                            </v:shape>
                            <w:control r:id="rId42" w:name="DefaultOcxName24" w:shapeid="_x0000_i1201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05" type="#_x0000_t75" style="width:53.25pt;height:18pt" o:ole="">
                              <v:imagedata r:id="rId20" o:title=""/>
                            </v:shape>
                            <w:control r:id="rId43" w:name="DefaultOcxName25" w:shapeid="_x0000_i1205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accounts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accounts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7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Net income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19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09" type="#_x0000_t75" style="width:53.25pt;height:18pt" o:ole="">
                              <v:imagedata r:id="rId20" o:title=""/>
                            </v:shape>
                            <w:control r:id="rId44" w:name="DefaultOcxName26" w:shapeid="_x0000_i1209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20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Net cash flow from operating activities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12" type="#_x0000_t75" style="width:1in;height:18pt" o:ole="">
                              <v:imagedata r:id="rId45" o:title=""/>
                            </v:shape>
                            <w:control r:id="rId46" w:name="DefaultOcxName27" w:shapeid="_x0000_i1212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16" type="#_x0000_t75" style="width:53.25pt;height:18pt" o:ole="">
                              <v:imagedata r:id="rId20" o:title=""/>
                            </v:shape>
                            <w:control r:id="rId47" w:name="DefaultOcxName28" w:shapeid="_x0000_i1216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22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Cash flows from investing activities: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19" type="#_x0000_t75" style="width:1in;height:18pt" o:ole="">
                              <v:imagedata r:id="rId48" o:title=""/>
                            </v:shape>
                            <w:control r:id="rId49" w:name="DefaultOcxName29" w:shapeid="_x0000_i1219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23" type="#_x0000_t75" style="width:53.25pt;height:18pt" o:ole="">
                              <v:imagedata r:id="rId20" o:title=""/>
                            </v:shape>
                            <w:control r:id="rId50" w:name="DefaultOcxName30" w:shapeid="_x0000_i122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27" type="#_x0000_t75" style="width:53.25pt;height:18pt" o:ole="">
                              <v:imagedata r:id="rId20" o:title=""/>
                            </v:shape>
                            <w:control r:id="rId51" w:name="DefaultOcxName31" w:shapeid="_x0000_i1227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gain on sale of land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land sold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net income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8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issuance of common stock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24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31" type="#_x0000_t75" style="width:53.25pt;height:18pt" o:ole="">
                              <v:imagedata r:id="rId20" o:title=""/>
                            </v:shape>
                            <w:control r:id="rId52" w:name="DefaultOcxName32" w:shapeid="_x0000_i1231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25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35" type="#_x0000_t75" style="width:53.25pt;height:18pt" o:ole="">
                              <v:imagedata r:id="rId20" o:title=""/>
                            </v:shape>
                            <w:control r:id="rId53" w:name="DefaultOcxName33" w:shapeid="_x0000_i123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39" type="#_x0000_t75" style="width:53.25pt;height:18pt" o:ole="">
                              <v:imagedata r:id="rId20" o:title=""/>
                            </v:shape>
                            <w:control r:id="rId54" w:name="DefaultOcxName34" w:shapeid="_x0000_i1239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depreciation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acquisition of building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loss on sale of land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9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dividends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26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43" type="#_x0000_t75" style="width:53.25pt;height:18pt" o:ole="">
                              <v:imagedata r:id="rId20" o:title=""/>
                            </v:shape>
                            <w:control r:id="rId55" w:name="DefaultOcxName35" w:shapeid="_x0000_i124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27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47" type="#_x0000_t75" style="width:53.25pt;height:18pt" o:ole="">
                              <v:imagedata r:id="rId20" o:title=""/>
                            </v:shape>
                            <w:control r:id="rId56" w:name="DefaultOcxName36" w:shapeid="_x0000_i1247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51" type="#_x0000_t75" style="width:53.25pt;height:18pt" o:ole="">
                              <v:imagedata r:id="rId20" o:title=""/>
                            </v:shape>
                            <w:control r:id="rId57" w:name="DefaultOcxName37" w:shapeid="_x0000_i1251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decrease in accounts receivable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increase in inventories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purchase of equipment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0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from issuance of bonds payable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28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55" type="#_x0000_t75" style="width:53.25pt;height:18pt" o:ole="">
                              <v:imagedata r:id="rId20" o:title=""/>
                            </v:shape>
                            <w:control r:id="rId58" w:name="DefaultOcxName38" w:shapeid="_x0000_i125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29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59" type="#_x0000_t75" style="width:53.25pt;height:18pt" o:ole="">
                              <v:imagedata r:id="rId20" o:title=""/>
                            </v:shape>
                            <w:control r:id="rId59" w:name="DefaultOcxName39" w:shapeid="_x0000_i1259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30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Net cash flow used for investing activities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62" type="#_x0000_t75" style="width:1in;height:18pt" o:ole="">
                              <v:imagedata r:id="rId60" o:title=""/>
                            </v:shape>
                            <w:control r:id="rId61" w:name="DefaultOcxName40" w:shapeid="_x0000_i1262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66" type="#_x0000_t75" style="width:53.25pt;height:18pt" o:ole="">
                              <v:imagedata r:id="rId20" o:title=""/>
                            </v:shape>
                            <w:control r:id="rId62" w:name="DefaultOcxName41" w:shapeid="_x0000_i1266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32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Cash flows from financing activities: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69" type="#_x0000_t75" style="width:1in;height:18pt" o:ole="">
                              <v:imagedata r:id="rId63" o:title=""/>
                            </v:shape>
                            <w:control r:id="rId64" w:name="DefaultOcxName42" w:shapeid="_x0000_i1269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73" type="#_x0000_t75" style="width:53.25pt;height:18pt" o:ole="">
                              <v:imagedata r:id="rId20" o:title=""/>
                            </v:shape>
                            <w:control r:id="rId65" w:name="DefaultOcxName43" w:shapeid="_x0000_i127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77" type="#_x0000_t75" style="width:53.25pt;height:18pt" o:ole="">
                              <v:imagedata r:id="rId20" o:title=""/>
                            </v:shape>
                            <w:control r:id="rId66" w:name="DefaultOcxName44" w:shapeid="_x0000_i1277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issuance of bonds payable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sale of land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purchase of equipment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1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decrease in prepaid expenses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34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81" type="#_x0000_t75" style="width:53.25pt;height:18pt" o:ole="">
                              <v:imagedata r:id="rId20" o:title=""/>
                            </v:shape>
                            <w:control r:id="rId67" w:name="DefaultOcxName45" w:shapeid="_x0000_i1281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35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85" type="#_x0000_t75" style="width:53.25pt;height:18pt" o:ole="">
                              <v:imagedata r:id="rId20" o:title=""/>
                            </v:shape>
                            <w:control r:id="rId68" w:name="DefaultOcxName46" w:shapeid="_x0000_i128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89" type="#_x0000_t75" style="width:53.25pt;height:18pt" o:ole="">
                              <v:imagedata r:id="rId20" o:title=""/>
                            </v:shape>
                            <w:control r:id="rId69" w:name="DefaultOcxName47" w:shapeid="_x0000_i1289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paid for acquisition of building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paid for issuance of common stock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issuance of common stock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2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Cash received from sale of land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36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93" type="#_x0000_t75" style="width:53.25pt;height:18pt" o:ole="">
                              <v:imagedata r:id="rId20" o:title=""/>
                            </v:shape>
                            <w:control r:id="rId70" w:name="DefaultOcxName48" w:shapeid="_x0000_i1293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37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297" type="#_x0000_t75" style="width:53.25pt;height:18pt" o:ole="">
                              <v:imagedata r:id="rId20" o:title=""/>
                            </v:shape>
                            <w:control r:id="rId71" w:name="DefaultOcxName49" w:shapeid="_x0000_i1297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38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01" type="#_x0000_t75" style="width:53.25pt;height:18pt" o:ole="">
                              <v:imagedata r:id="rId20" o:title=""/>
                            </v:shape>
                            <w:control r:id="rId72" w:name="DefaultOcxName50" w:shapeid="_x0000_i1301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05" type="#_x0000_t75" style="width:53.25pt;height:18pt" o:ole="">
                              <v:imagedata r:id="rId20" o:title=""/>
                            </v:shape>
                            <w:control r:id="rId73" w:name="DefaultOcxName51" w:shapeid="_x0000_i1305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from net loss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purchase of equipment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dividends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3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Less cash paid for loss on sale of land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39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09" type="#_x0000_t75" style="width:53.25pt;height:18pt" o:ole="">
                              <v:imagedata r:id="rId20" o:title=""/>
                            </v:shape>
                            <w:control r:id="rId74" w:name="DefaultOcxName52" w:shapeid="_x0000_i1309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40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Net cash flow provided by financing activities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12" type="#_x0000_t75" style="width:1in;height:18pt" o:ole="">
                              <v:imagedata r:id="rId75" o:title=""/>
                            </v:shape>
                            <w:control r:id="rId76" w:name="DefaultOcxName53" w:shapeid="_x0000_i1312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16" type="#_x0000_t75" style="width:53.25pt;height:18pt" o:ole="">
                              <v:imagedata r:id="rId20" o:title=""/>
                            </v:shape>
                            <w:control r:id="rId77" w:name="DefaultOcxName54" w:shapeid="_x0000_i1316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42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20" type="#_x0000_t75" style="width:53.25pt;height:18pt" o:ole="">
                              <v:imagedata r:id="rId20" o:title=""/>
                            </v:shape>
                            <w:control r:id="rId78" w:name="DefaultOcxName55" w:shapeid="_x0000_i1320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24" type="#_x0000_t75" style="width:53.25pt;height:18pt" o:ole="">
                              <v:imagedata r:id="rId20" o:title=""/>
                            </v:shape>
                            <w:control r:id="rId79" w:name="DefaultOcxName56" w:shapeid="_x0000_i1324"/>
                          </w:objec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 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Decrease in cash</w:t>
                        </w:r>
                      </w:p>
                      <w:p w:rsidR="00AE4DED" w:rsidRPr="00AE4DED" w:rsidRDefault="00AE4DED" w:rsidP="00AE4DED">
                        <w:pPr>
                          <w:numPr>
                            <w:ilvl w:val="0"/>
                            <w:numId w:val="14"/>
                          </w:numPr>
                          <w:spacing w:after="0" w:line="270" w:lineRule="atLeast"/>
                          <w:ind w:left="180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>Increase in cash</w: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43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28" type="#_x0000_t75" style="width:53.25pt;height:18pt" o:ole="">
                              <v:imagedata r:id="rId20" o:title=""/>
                            </v:shape>
                            <w:control r:id="rId80" w:name="DefaultOcxName57" w:shapeid="_x0000_i1328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44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Cash at beginning of the year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31" type="#_x0000_t75" style="width:1in;height:18pt" o:ole="">
                              <v:imagedata r:id="rId81" o:title=""/>
                            </v:shape>
                            <w:control r:id="rId82" w:name="DefaultOcxName58" w:shapeid="_x0000_i1331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35" type="#_x0000_t75" style="width:53.25pt;height:18pt" o:ole="">
                              <v:imagedata r:id="rId20" o:title=""/>
                            </v:shape>
                            <w:control r:id="rId83" w:name="DefaultOcxName59" w:shapeid="_x0000_i1335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46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E4DED" w:rsidRPr="00AE4DED" w:rsidTr="00AE4DED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4"/>
                  </w:tblGrid>
                  <w:tr w:rsidR="00AE4DED" w:rsidRPr="00AE4D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Cash at end of the year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38" type="#_x0000_t75" style="width:1in;height:18pt" o:ole="">
                              <v:imagedata r:id="rId84" o:title=""/>
                            </v:shape>
                            <w:control r:id="rId85" w:name="DefaultOcxName60" w:shapeid="_x0000_i1338"/>
                          </w:objec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DED" w:rsidRPr="00AE4DED" w:rsidRDefault="00AE4DED" w:rsidP="00AE4DE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AE4DED" w:rsidRPr="00AE4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DED" w:rsidRPr="00AE4DED" w:rsidRDefault="00AE4DED" w:rsidP="00AE4D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$ </w:t>
                        </w:r>
                        <w:r w:rsidRPr="00AE4D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n-US"/>
                          </w:rPr>
                          <w:object w:dxaOrig="225" w:dyaOrig="225">
                            <v:shape id="_x0000_i1342" type="#_x0000_t75" style="width:53.25pt;height:18pt" o:ole="">
                              <v:imagedata r:id="rId20" o:title=""/>
                            </v:shape>
                            <w:control r:id="rId86" w:name="DefaultOcxName61" w:shapeid="_x0000_i1342"/>
                          </w:object>
                        </w:r>
                      </w:p>
                      <w:p w:rsidR="00AE4DED" w:rsidRPr="00AE4DED" w:rsidRDefault="00AE4DED" w:rsidP="00AE4DE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  <w:r w:rsidRPr="00AE4DED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  <w:t xml:space="preserve">Correct 48 </w:t>
                        </w:r>
                      </w:p>
                    </w:tc>
                  </w:tr>
                </w:tbl>
                <w:p w:rsidR="00AE4DED" w:rsidRPr="00AE4DED" w:rsidRDefault="00AE4DED" w:rsidP="00AE4DED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E4DED" w:rsidRPr="00AE4DED" w:rsidRDefault="00AE4DED" w:rsidP="00AE4DED">
            <w:pPr>
              <w:spacing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E4DE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AE4DED" w:rsidRPr="00AE4DED" w:rsidRDefault="00AE4DED" w:rsidP="00AE4DED"/>
        </w:tc>
      </w:tr>
    </w:tbl>
    <w:p w:rsidR="006B792B" w:rsidRDefault="006B792B"/>
    <w:sectPr w:rsidR="006B792B" w:rsidSect="006B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2DF"/>
    <w:multiLevelType w:val="multilevel"/>
    <w:tmpl w:val="42C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76D"/>
    <w:multiLevelType w:val="multilevel"/>
    <w:tmpl w:val="E5E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267F9"/>
    <w:multiLevelType w:val="multilevel"/>
    <w:tmpl w:val="F54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1532"/>
    <w:multiLevelType w:val="multilevel"/>
    <w:tmpl w:val="81D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A1632"/>
    <w:multiLevelType w:val="multilevel"/>
    <w:tmpl w:val="83E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3C49"/>
    <w:multiLevelType w:val="multilevel"/>
    <w:tmpl w:val="10F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A6FCA"/>
    <w:multiLevelType w:val="multilevel"/>
    <w:tmpl w:val="AF5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11722"/>
    <w:multiLevelType w:val="multilevel"/>
    <w:tmpl w:val="5ED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43691"/>
    <w:multiLevelType w:val="multilevel"/>
    <w:tmpl w:val="3CB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76602"/>
    <w:multiLevelType w:val="multilevel"/>
    <w:tmpl w:val="4E5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26A79"/>
    <w:multiLevelType w:val="multilevel"/>
    <w:tmpl w:val="EA3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85750"/>
    <w:multiLevelType w:val="multilevel"/>
    <w:tmpl w:val="A16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F2E23"/>
    <w:multiLevelType w:val="multilevel"/>
    <w:tmpl w:val="837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E0D68"/>
    <w:multiLevelType w:val="multilevel"/>
    <w:tmpl w:val="EEB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D"/>
    <w:rsid w:val="000D1C21"/>
    <w:rsid w:val="001304B8"/>
    <w:rsid w:val="006B792B"/>
    <w:rsid w:val="00AE4DED"/>
    <w:rsid w:val="00B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DE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character" w:customStyle="1" w:styleId="leadingtext">
    <w:name w:val="leadingtext"/>
    <w:basedOn w:val="DefaultParagraphFont"/>
    <w:rsid w:val="00AE4DED"/>
  </w:style>
  <w:style w:type="character" w:customStyle="1" w:styleId="value">
    <w:name w:val="value"/>
    <w:basedOn w:val="DefaultParagraphFont"/>
    <w:rsid w:val="00AE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DE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character" w:customStyle="1" w:styleId="leadingtext">
    <w:name w:val="leadingtext"/>
    <w:basedOn w:val="DefaultParagraphFont"/>
    <w:rsid w:val="00AE4DED"/>
  </w:style>
  <w:style w:type="character" w:customStyle="1" w:styleId="value">
    <w:name w:val="value"/>
    <w:basedOn w:val="DefaultParagraphFont"/>
    <w:rsid w:val="00AE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242">
          <w:marLeft w:val="180"/>
          <w:marRight w:val="180"/>
          <w:marTop w:val="18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1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348">
                  <w:marLeft w:val="0"/>
                  <w:marRight w:val="0"/>
                  <w:marTop w:val="0"/>
                  <w:marBottom w:val="0"/>
                  <w:divBdr>
                    <w:top w:val="single" w:sz="6" w:space="0" w:color="81C3E3"/>
                    <w:left w:val="single" w:sz="6" w:space="0" w:color="81C3E3"/>
                    <w:bottom w:val="single" w:sz="6" w:space="0" w:color="81C3E3"/>
                    <w:right w:val="single" w:sz="6" w:space="0" w:color="81C3E3"/>
                  </w:divBdr>
                  <w:divsChild>
                    <w:div w:id="1998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C3E3"/>
                            <w:left w:val="single" w:sz="6" w:space="0" w:color="81C3E3"/>
                            <w:bottom w:val="single" w:sz="6" w:space="0" w:color="81C3E3"/>
                            <w:right w:val="single" w:sz="6" w:space="0" w:color="81C3E3"/>
                          </w:divBdr>
                          <w:divsChild>
                            <w:div w:id="10464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0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6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1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4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7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56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76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2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5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7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50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0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8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08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31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94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7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96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63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42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68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70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0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82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2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30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82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78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0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27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1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53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1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48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27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08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9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1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18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56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35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56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41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0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60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71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0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5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47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9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97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62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0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85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8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9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099">
          <w:marLeft w:val="180"/>
          <w:marRight w:val="180"/>
          <w:marTop w:val="18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8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096">
                  <w:marLeft w:val="0"/>
                  <w:marRight w:val="0"/>
                  <w:marTop w:val="0"/>
                  <w:marBottom w:val="0"/>
                  <w:divBdr>
                    <w:top w:val="single" w:sz="6" w:space="0" w:color="81C3E3"/>
                    <w:left w:val="single" w:sz="6" w:space="0" w:color="81C3E3"/>
                    <w:bottom w:val="single" w:sz="6" w:space="0" w:color="81C3E3"/>
                    <w:right w:val="single" w:sz="6" w:space="0" w:color="81C3E3"/>
                  </w:divBdr>
                  <w:divsChild>
                    <w:div w:id="1968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C3E3"/>
                            <w:left w:val="single" w:sz="6" w:space="0" w:color="81C3E3"/>
                            <w:bottom w:val="single" w:sz="6" w:space="0" w:color="81C3E3"/>
                            <w:right w:val="single" w:sz="6" w:space="0" w:color="81C3E3"/>
                          </w:divBdr>
                          <w:divsChild>
                            <w:div w:id="135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9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46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42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1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17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7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35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7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55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66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04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3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67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0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88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38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32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16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93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57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29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5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76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5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84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3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7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38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2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5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12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7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79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24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13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2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01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5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63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4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75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3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0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39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81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31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22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4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34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8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6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25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5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50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0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0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8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1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image" Target="media/image14.wmf"/><Relationship Id="rId68" Type="http://schemas.openxmlformats.org/officeDocument/2006/relationships/control" Target="activeX/activeX49.xml"/><Relationship Id="rId76" Type="http://schemas.openxmlformats.org/officeDocument/2006/relationships/control" Target="activeX/activeX56.xml"/><Relationship Id="rId84" Type="http://schemas.openxmlformats.org/officeDocument/2006/relationships/image" Target="media/image17.wmf"/><Relationship Id="rId7" Type="http://schemas.openxmlformats.org/officeDocument/2006/relationships/control" Target="activeX/activeX1.xml"/><Relationship Id="rId71" Type="http://schemas.openxmlformats.org/officeDocument/2006/relationships/control" Target="activeX/activeX5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11.wmf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2.wmf"/><Relationship Id="rId56" Type="http://schemas.openxmlformats.org/officeDocument/2006/relationships/control" Target="activeX/activeX3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7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85" Type="http://schemas.openxmlformats.org/officeDocument/2006/relationships/control" Target="activeX/activeX63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48.xml"/><Relationship Id="rId20" Type="http://schemas.openxmlformats.org/officeDocument/2006/relationships/image" Target="media/image8.wmf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1.xml"/><Relationship Id="rId75" Type="http://schemas.openxmlformats.org/officeDocument/2006/relationships/image" Target="media/image15.wmf"/><Relationship Id="rId83" Type="http://schemas.openxmlformats.org/officeDocument/2006/relationships/control" Target="activeX/activeX62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image" Target="media/image13.wmf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image" Target="media/image16.wmf"/><Relationship Id="rId86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LaQuanda Jones</dc:creator>
  <cp:lastModifiedBy>mee-chong</cp:lastModifiedBy>
  <cp:revision>2</cp:revision>
  <dcterms:created xsi:type="dcterms:W3CDTF">2013-03-13T21:14:00Z</dcterms:created>
  <dcterms:modified xsi:type="dcterms:W3CDTF">2013-03-13T21:14:00Z</dcterms:modified>
</cp:coreProperties>
</file>