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5" w:type="dxa"/>
        <w:tblCellSpacing w:w="0" w:type="dxa"/>
        <w:tblInd w:w="720" w:type="dxa"/>
        <w:tblBorders>
          <w:top w:val="single" w:sz="6" w:space="0" w:color="auto"/>
          <w:left w:val="single" w:sz="6" w:space="0" w:color="auto"/>
          <w:bottom w:val="single" w:sz="6" w:space="0" w:color="auto"/>
          <w:right w:val="single" w:sz="6" w:space="0" w:color="auto"/>
        </w:tblBorders>
        <w:shd w:val="clear" w:color="auto" w:fill="EFEFE7"/>
        <w:tblCellMar>
          <w:left w:w="0" w:type="dxa"/>
          <w:right w:w="0" w:type="dxa"/>
        </w:tblCellMar>
        <w:tblLook w:val="04A0"/>
      </w:tblPr>
      <w:tblGrid>
        <w:gridCol w:w="4035"/>
        <w:gridCol w:w="1320"/>
      </w:tblGrid>
      <w:tr w:rsidR="00333BE1" w:rsidRPr="00333BE1" w:rsidTr="00333BE1">
        <w:trPr>
          <w:tblCellSpacing w:w="0" w:type="dxa"/>
        </w:trPr>
        <w:tc>
          <w:tcPr>
            <w:tcW w:w="5295" w:type="dxa"/>
            <w:gridSpan w:val="2"/>
            <w:tcBorders>
              <w:top w:val="single" w:sz="6" w:space="0" w:color="auto"/>
              <w:left w:val="single" w:sz="6" w:space="0" w:color="auto"/>
              <w:bottom w:val="single" w:sz="6" w:space="0" w:color="auto"/>
              <w:right w:val="single" w:sz="6" w:space="0" w:color="auto"/>
            </w:tcBorders>
            <w:shd w:val="clear" w:color="auto" w:fill="EFEFE7"/>
            <w:noWrap/>
            <w:tcMar>
              <w:top w:w="60" w:type="dxa"/>
              <w:left w:w="60" w:type="dxa"/>
              <w:bottom w:w="60" w:type="dxa"/>
              <w:right w:w="60" w:type="dxa"/>
            </w:tcMar>
            <w:vAlign w:val="bottom"/>
            <w:hideMark/>
          </w:tcPr>
          <w:p w:rsidR="00333BE1" w:rsidRPr="00333BE1" w:rsidRDefault="00333BE1" w:rsidP="00333BE1">
            <w:pPr>
              <w:spacing w:before="100" w:beforeAutospacing="1" w:after="100" w:afterAutospacing="1" w:line="240" w:lineRule="auto"/>
              <w:rPr>
                <w:rFonts w:ascii="Verdana" w:eastAsia="Times New Roman" w:hAnsi="Verdana" w:cs="Times New Roman"/>
                <w:color w:val="000000"/>
                <w:sz w:val="17"/>
                <w:szCs w:val="17"/>
              </w:rPr>
            </w:pPr>
            <w:r w:rsidRPr="00333BE1">
              <w:rPr>
                <w:rFonts w:ascii="Verdana" w:eastAsia="Times New Roman" w:hAnsi="Verdana" w:cs="Times New Roman"/>
                <w:b/>
                <w:bCs/>
                <w:color w:val="000000"/>
                <w:sz w:val="17"/>
                <w:szCs w:val="17"/>
              </w:rPr>
              <w:t>Part A Data</w:t>
            </w:r>
          </w:p>
        </w:tc>
      </w:tr>
      <w:tr w:rsidR="00333BE1" w:rsidRPr="00333BE1" w:rsidTr="00333BE1">
        <w:trPr>
          <w:tblCellSpacing w:w="0" w:type="dxa"/>
        </w:trPr>
        <w:tc>
          <w:tcPr>
            <w:tcW w:w="4005" w:type="dxa"/>
            <w:tcBorders>
              <w:top w:val="single" w:sz="6" w:space="0" w:color="auto"/>
              <w:left w:val="single" w:sz="6" w:space="0" w:color="auto"/>
              <w:bottom w:val="single" w:sz="6" w:space="0" w:color="auto"/>
              <w:right w:val="single" w:sz="6" w:space="0" w:color="auto"/>
            </w:tcBorders>
            <w:shd w:val="clear" w:color="auto" w:fill="EFEFE7"/>
            <w:noWrap/>
            <w:tcMar>
              <w:top w:w="60" w:type="dxa"/>
              <w:left w:w="60" w:type="dxa"/>
              <w:bottom w:w="60" w:type="dxa"/>
              <w:right w:w="60" w:type="dxa"/>
            </w:tcMar>
            <w:vAlign w:val="bottom"/>
            <w:hideMark/>
          </w:tcPr>
          <w:p w:rsidR="00333BE1" w:rsidRPr="00333BE1" w:rsidRDefault="00333BE1" w:rsidP="00333BE1">
            <w:pPr>
              <w:spacing w:before="100" w:beforeAutospacing="1" w:after="100" w:afterAutospacing="1" w:line="240" w:lineRule="auto"/>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Budgeted and actual fixed costs</w:t>
            </w:r>
          </w:p>
        </w:tc>
        <w:tc>
          <w:tcPr>
            <w:tcW w:w="1290" w:type="dxa"/>
            <w:tcBorders>
              <w:top w:val="single" w:sz="6" w:space="0" w:color="auto"/>
              <w:left w:val="single" w:sz="6" w:space="0" w:color="auto"/>
              <w:bottom w:val="single" w:sz="6" w:space="0" w:color="auto"/>
              <w:right w:val="single" w:sz="6" w:space="0" w:color="auto"/>
            </w:tcBorders>
            <w:shd w:val="clear" w:color="auto" w:fill="EFEFE7"/>
            <w:noWrap/>
            <w:tcMar>
              <w:top w:w="60" w:type="dxa"/>
              <w:left w:w="60" w:type="dxa"/>
              <w:bottom w:w="60" w:type="dxa"/>
              <w:right w:w="60" w:type="dxa"/>
            </w:tcMar>
            <w:vAlign w:val="bottom"/>
            <w:hideMark/>
          </w:tcPr>
          <w:p w:rsidR="00333BE1" w:rsidRPr="00333BE1" w:rsidRDefault="00333BE1" w:rsidP="00333BE1">
            <w:pPr>
              <w:spacing w:before="100" w:beforeAutospacing="1" w:after="100" w:afterAutospacing="1" w:line="240" w:lineRule="auto"/>
              <w:jc w:val="right"/>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$1,000,000</w:t>
            </w:r>
          </w:p>
        </w:tc>
      </w:tr>
      <w:tr w:rsidR="00333BE1" w:rsidRPr="00333BE1" w:rsidTr="00333BE1">
        <w:trPr>
          <w:tblCellSpacing w:w="0" w:type="dxa"/>
        </w:trPr>
        <w:tc>
          <w:tcPr>
            <w:tcW w:w="4005" w:type="dxa"/>
            <w:tcBorders>
              <w:top w:val="single" w:sz="6" w:space="0" w:color="auto"/>
              <w:left w:val="single" w:sz="6" w:space="0" w:color="auto"/>
              <w:bottom w:val="single" w:sz="6" w:space="0" w:color="auto"/>
              <w:right w:val="single" w:sz="6" w:space="0" w:color="auto"/>
            </w:tcBorders>
            <w:shd w:val="clear" w:color="auto" w:fill="EFEFE7"/>
            <w:noWrap/>
            <w:tcMar>
              <w:top w:w="60" w:type="dxa"/>
              <w:left w:w="60" w:type="dxa"/>
              <w:bottom w:w="60" w:type="dxa"/>
              <w:right w:w="60" w:type="dxa"/>
            </w:tcMar>
            <w:vAlign w:val="bottom"/>
            <w:hideMark/>
          </w:tcPr>
          <w:p w:rsidR="00333BE1" w:rsidRPr="00333BE1" w:rsidRDefault="00333BE1" w:rsidP="00333BE1">
            <w:pPr>
              <w:spacing w:before="100" w:beforeAutospacing="1" w:after="100" w:afterAutospacing="1" w:line="240" w:lineRule="auto"/>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Budgeted unit volume to be produced</w:t>
            </w:r>
          </w:p>
        </w:tc>
        <w:tc>
          <w:tcPr>
            <w:tcW w:w="1290" w:type="dxa"/>
            <w:tcBorders>
              <w:top w:val="single" w:sz="6" w:space="0" w:color="auto"/>
              <w:left w:val="single" w:sz="6" w:space="0" w:color="auto"/>
              <w:bottom w:val="single" w:sz="6" w:space="0" w:color="auto"/>
              <w:right w:val="single" w:sz="6" w:space="0" w:color="auto"/>
            </w:tcBorders>
            <w:shd w:val="clear" w:color="auto" w:fill="EFEFE7"/>
            <w:noWrap/>
            <w:tcMar>
              <w:top w:w="60" w:type="dxa"/>
              <w:left w:w="60" w:type="dxa"/>
              <w:bottom w:w="60" w:type="dxa"/>
              <w:right w:w="60" w:type="dxa"/>
            </w:tcMar>
            <w:vAlign w:val="bottom"/>
            <w:hideMark/>
          </w:tcPr>
          <w:p w:rsidR="00333BE1" w:rsidRPr="00333BE1" w:rsidRDefault="00333BE1" w:rsidP="00333BE1">
            <w:pPr>
              <w:spacing w:before="100" w:beforeAutospacing="1" w:after="100" w:afterAutospacing="1" w:line="240" w:lineRule="auto"/>
              <w:jc w:val="right"/>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10,000</w:t>
            </w:r>
          </w:p>
        </w:tc>
      </w:tr>
      <w:tr w:rsidR="00333BE1" w:rsidRPr="00333BE1" w:rsidTr="00333BE1">
        <w:trPr>
          <w:tblCellSpacing w:w="0" w:type="dxa"/>
        </w:trPr>
        <w:tc>
          <w:tcPr>
            <w:tcW w:w="4005" w:type="dxa"/>
            <w:tcBorders>
              <w:top w:val="single" w:sz="6" w:space="0" w:color="auto"/>
              <w:left w:val="single" w:sz="6" w:space="0" w:color="auto"/>
              <w:bottom w:val="single" w:sz="6" w:space="0" w:color="auto"/>
              <w:right w:val="single" w:sz="6" w:space="0" w:color="auto"/>
            </w:tcBorders>
            <w:shd w:val="clear" w:color="auto" w:fill="EFEFE7"/>
            <w:noWrap/>
            <w:tcMar>
              <w:top w:w="60" w:type="dxa"/>
              <w:left w:w="60" w:type="dxa"/>
              <w:bottom w:w="60" w:type="dxa"/>
              <w:right w:w="60" w:type="dxa"/>
            </w:tcMar>
            <w:vAlign w:val="bottom"/>
            <w:hideMark/>
          </w:tcPr>
          <w:p w:rsidR="00333BE1" w:rsidRPr="00333BE1" w:rsidRDefault="00333BE1" w:rsidP="00333BE1">
            <w:pPr>
              <w:spacing w:before="100" w:beforeAutospacing="1" w:after="100" w:afterAutospacing="1" w:line="240" w:lineRule="auto"/>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Budgeted unit volume sold</w:t>
            </w:r>
          </w:p>
        </w:tc>
        <w:tc>
          <w:tcPr>
            <w:tcW w:w="1290" w:type="dxa"/>
            <w:tcBorders>
              <w:top w:val="single" w:sz="6" w:space="0" w:color="auto"/>
              <w:left w:val="single" w:sz="6" w:space="0" w:color="auto"/>
              <w:bottom w:val="single" w:sz="6" w:space="0" w:color="auto"/>
              <w:right w:val="single" w:sz="6" w:space="0" w:color="auto"/>
            </w:tcBorders>
            <w:shd w:val="clear" w:color="auto" w:fill="EFEFE7"/>
            <w:noWrap/>
            <w:tcMar>
              <w:top w:w="60" w:type="dxa"/>
              <w:left w:w="60" w:type="dxa"/>
              <w:bottom w:w="60" w:type="dxa"/>
              <w:right w:w="60" w:type="dxa"/>
            </w:tcMar>
            <w:vAlign w:val="bottom"/>
            <w:hideMark/>
          </w:tcPr>
          <w:p w:rsidR="00333BE1" w:rsidRPr="00333BE1" w:rsidRDefault="00333BE1" w:rsidP="00333BE1">
            <w:pPr>
              <w:spacing w:before="100" w:beforeAutospacing="1" w:after="100" w:afterAutospacing="1" w:line="240" w:lineRule="auto"/>
              <w:jc w:val="right"/>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10,000</w:t>
            </w:r>
          </w:p>
        </w:tc>
      </w:tr>
      <w:tr w:rsidR="00333BE1" w:rsidRPr="00333BE1" w:rsidTr="00333BE1">
        <w:trPr>
          <w:tblCellSpacing w:w="0" w:type="dxa"/>
        </w:trPr>
        <w:tc>
          <w:tcPr>
            <w:tcW w:w="4005" w:type="dxa"/>
            <w:tcBorders>
              <w:top w:val="single" w:sz="6" w:space="0" w:color="auto"/>
              <w:left w:val="single" w:sz="6" w:space="0" w:color="auto"/>
              <w:bottom w:val="single" w:sz="6" w:space="0" w:color="auto"/>
              <w:right w:val="single" w:sz="6" w:space="0" w:color="auto"/>
            </w:tcBorders>
            <w:shd w:val="clear" w:color="auto" w:fill="EFEFE7"/>
            <w:noWrap/>
            <w:tcMar>
              <w:top w:w="60" w:type="dxa"/>
              <w:left w:w="60" w:type="dxa"/>
              <w:bottom w:w="60" w:type="dxa"/>
              <w:right w:w="60" w:type="dxa"/>
            </w:tcMar>
            <w:vAlign w:val="bottom"/>
            <w:hideMark/>
          </w:tcPr>
          <w:p w:rsidR="00333BE1" w:rsidRPr="00333BE1" w:rsidRDefault="00333BE1" w:rsidP="00333BE1">
            <w:pPr>
              <w:spacing w:before="100" w:beforeAutospacing="1" w:after="100" w:afterAutospacing="1" w:line="240" w:lineRule="auto"/>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Actual variable costs</w:t>
            </w:r>
          </w:p>
        </w:tc>
        <w:tc>
          <w:tcPr>
            <w:tcW w:w="1290" w:type="dxa"/>
            <w:tcBorders>
              <w:top w:val="single" w:sz="6" w:space="0" w:color="auto"/>
              <w:left w:val="single" w:sz="6" w:space="0" w:color="auto"/>
              <w:bottom w:val="single" w:sz="6" w:space="0" w:color="auto"/>
              <w:right w:val="single" w:sz="6" w:space="0" w:color="auto"/>
            </w:tcBorders>
            <w:shd w:val="clear" w:color="auto" w:fill="EFEFE7"/>
            <w:noWrap/>
            <w:tcMar>
              <w:top w:w="60" w:type="dxa"/>
              <w:left w:w="60" w:type="dxa"/>
              <w:bottom w:w="60" w:type="dxa"/>
              <w:right w:w="60" w:type="dxa"/>
            </w:tcMar>
            <w:vAlign w:val="bottom"/>
            <w:hideMark/>
          </w:tcPr>
          <w:p w:rsidR="00333BE1" w:rsidRPr="00333BE1" w:rsidRDefault="00333BE1" w:rsidP="00333BE1">
            <w:pPr>
              <w:spacing w:before="100" w:beforeAutospacing="1" w:after="100" w:afterAutospacing="1" w:line="240" w:lineRule="auto"/>
              <w:jc w:val="right"/>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$500,000</w:t>
            </w:r>
          </w:p>
        </w:tc>
      </w:tr>
      <w:tr w:rsidR="00333BE1" w:rsidRPr="00333BE1" w:rsidTr="00333BE1">
        <w:trPr>
          <w:tblCellSpacing w:w="0" w:type="dxa"/>
        </w:trPr>
        <w:tc>
          <w:tcPr>
            <w:tcW w:w="4005" w:type="dxa"/>
            <w:tcBorders>
              <w:top w:val="single" w:sz="6" w:space="0" w:color="auto"/>
              <w:left w:val="single" w:sz="6" w:space="0" w:color="auto"/>
              <w:bottom w:val="single" w:sz="6" w:space="0" w:color="auto"/>
              <w:right w:val="single" w:sz="6" w:space="0" w:color="auto"/>
            </w:tcBorders>
            <w:shd w:val="clear" w:color="auto" w:fill="EFEFE7"/>
            <w:noWrap/>
            <w:tcMar>
              <w:top w:w="60" w:type="dxa"/>
              <w:left w:w="60" w:type="dxa"/>
              <w:bottom w:w="60" w:type="dxa"/>
              <w:right w:w="60" w:type="dxa"/>
            </w:tcMar>
            <w:vAlign w:val="bottom"/>
            <w:hideMark/>
          </w:tcPr>
          <w:p w:rsidR="00333BE1" w:rsidRPr="00333BE1" w:rsidRDefault="00333BE1" w:rsidP="00333BE1">
            <w:pPr>
              <w:spacing w:before="100" w:beforeAutospacing="1" w:after="100" w:afterAutospacing="1" w:line="240" w:lineRule="auto"/>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Actual unit volume sold</w:t>
            </w:r>
          </w:p>
        </w:tc>
        <w:tc>
          <w:tcPr>
            <w:tcW w:w="1290" w:type="dxa"/>
            <w:tcBorders>
              <w:top w:val="single" w:sz="6" w:space="0" w:color="auto"/>
              <w:left w:val="single" w:sz="6" w:space="0" w:color="auto"/>
              <w:bottom w:val="single" w:sz="6" w:space="0" w:color="auto"/>
              <w:right w:val="single" w:sz="6" w:space="0" w:color="auto"/>
            </w:tcBorders>
            <w:shd w:val="clear" w:color="auto" w:fill="EFEFE7"/>
            <w:noWrap/>
            <w:tcMar>
              <w:top w:w="60" w:type="dxa"/>
              <w:left w:w="60" w:type="dxa"/>
              <w:bottom w:w="60" w:type="dxa"/>
              <w:right w:w="60" w:type="dxa"/>
            </w:tcMar>
            <w:vAlign w:val="bottom"/>
            <w:hideMark/>
          </w:tcPr>
          <w:p w:rsidR="00333BE1" w:rsidRPr="00333BE1" w:rsidRDefault="00333BE1" w:rsidP="00333BE1">
            <w:pPr>
              <w:spacing w:before="100" w:beforeAutospacing="1" w:after="100" w:afterAutospacing="1" w:line="240" w:lineRule="auto"/>
              <w:jc w:val="right"/>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9,000</w:t>
            </w:r>
          </w:p>
        </w:tc>
      </w:tr>
      <w:tr w:rsidR="00333BE1" w:rsidRPr="00333BE1" w:rsidTr="00333BE1">
        <w:trPr>
          <w:tblCellSpacing w:w="0" w:type="dxa"/>
        </w:trPr>
        <w:tc>
          <w:tcPr>
            <w:tcW w:w="4005" w:type="dxa"/>
            <w:tcBorders>
              <w:top w:val="single" w:sz="6" w:space="0" w:color="auto"/>
              <w:left w:val="single" w:sz="6" w:space="0" w:color="auto"/>
              <w:bottom w:val="single" w:sz="6" w:space="0" w:color="auto"/>
              <w:right w:val="single" w:sz="6" w:space="0" w:color="auto"/>
            </w:tcBorders>
            <w:shd w:val="clear" w:color="auto" w:fill="EFEFE7"/>
            <w:noWrap/>
            <w:tcMar>
              <w:top w:w="60" w:type="dxa"/>
              <w:left w:w="60" w:type="dxa"/>
              <w:bottom w:w="60" w:type="dxa"/>
              <w:right w:w="60" w:type="dxa"/>
            </w:tcMar>
            <w:vAlign w:val="bottom"/>
            <w:hideMark/>
          </w:tcPr>
          <w:p w:rsidR="00333BE1" w:rsidRPr="00333BE1" w:rsidRDefault="00333BE1" w:rsidP="00333BE1">
            <w:pPr>
              <w:spacing w:before="100" w:beforeAutospacing="1" w:after="100" w:afterAutospacing="1" w:line="240" w:lineRule="auto"/>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Beginning of year inventory</w:t>
            </w:r>
          </w:p>
        </w:tc>
        <w:tc>
          <w:tcPr>
            <w:tcW w:w="1290" w:type="dxa"/>
            <w:tcBorders>
              <w:top w:val="single" w:sz="6" w:space="0" w:color="auto"/>
              <w:left w:val="single" w:sz="6" w:space="0" w:color="auto"/>
              <w:bottom w:val="single" w:sz="6" w:space="0" w:color="auto"/>
              <w:right w:val="single" w:sz="6" w:space="0" w:color="auto"/>
            </w:tcBorders>
            <w:shd w:val="clear" w:color="auto" w:fill="EFEFE7"/>
            <w:noWrap/>
            <w:tcMar>
              <w:top w:w="60" w:type="dxa"/>
              <w:left w:w="60" w:type="dxa"/>
              <w:bottom w:w="60" w:type="dxa"/>
              <w:right w:w="60" w:type="dxa"/>
            </w:tcMar>
            <w:vAlign w:val="bottom"/>
            <w:hideMark/>
          </w:tcPr>
          <w:p w:rsidR="00333BE1" w:rsidRPr="00333BE1" w:rsidRDefault="00333BE1" w:rsidP="00333BE1">
            <w:pPr>
              <w:spacing w:before="100" w:beforeAutospacing="1" w:after="100" w:afterAutospacing="1" w:line="240" w:lineRule="auto"/>
              <w:jc w:val="right"/>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0</w:t>
            </w:r>
          </w:p>
        </w:tc>
      </w:tr>
      <w:tr w:rsidR="00333BE1" w:rsidRPr="00333BE1" w:rsidTr="00333BE1">
        <w:trPr>
          <w:tblCellSpacing w:w="0" w:type="dxa"/>
        </w:trPr>
        <w:tc>
          <w:tcPr>
            <w:tcW w:w="4005" w:type="dxa"/>
            <w:tcBorders>
              <w:top w:val="single" w:sz="6" w:space="0" w:color="auto"/>
              <w:left w:val="single" w:sz="6" w:space="0" w:color="auto"/>
              <w:bottom w:val="single" w:sz="6" w:space="0" w:color="auto"/>
              <w:right w:val="single" w:sz="6" w:space="0" w:color="auto"/>
            </w:tcBorders>
            <w:shd w:val="clear" w:color="auto" w:fill="EFEFE7"/>
            <w:noWrap/>
            <w:tcMar>
              <w:top w:w="60" w:type="dxa"/>
              <w:left w:w="60" w:type="dxa"/>
              <w:bottom w:w="60" w:type="dxa"/>
              <w:right w:w="60" w:type="dxa"/>
            </w:tcMar>
            <w:vAlign w:val="bottom"/>
            <w:hideMark/>
          </w:tcPr>
          <w:p w:rsidR="00333BE1" w:rsidRPr="00333BE1" w:rsidRDefault="00333BE1" w:rsidP="00333BE1">
            <w:pPr>
              <w:spacing w:before="100" w:beforeAutospacing="1" w:after="100" w:afterAutospacing="1" w:line="240" w:lineRule="auto"/>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End of year inventory</w:t>
            </w:r>
          </w:p>
        </w:tc>
        <w:tc>
          <w:tcPr>
            <w:tcW w:w="1290" w:type="dxa"/>
            <w:tcBorders>
              <w:top w:val="single" w:sz="6" w:space="0" w:color="auto"/>
              <w:left w:val="single" w:sz="6" w:space="0" w:color="auto"/>
              <w:bottom w:val="single" w:sz="6" w:space="0" w:color="auto"/>
              <w:right w:val="single" w:sz="6" w:space="0" w:color="auto"/>
            </w:tcBorders>
            <w:shd w:val="clear" w:color="auto" w:fill="EFEFE7"/>
            <w:noWrap/>
            <w:tcMar>
              <w:top w:w="60" w:type="dxa"/>
              <w:left w:w="60" w:type="dxa"/>
              <w:bottom w:w="60" w:type="dxa"/>
              <w:right w:w="60" w:type="dxa"/>
            </w:tcMar>
            <w:vAlign w:val="bottom"/>
            <w:hideMark/>
          </w:tcPr>
          <w:p w:rsidR="00333BE1" w:rsidRPr="00333BE1" w:rsidRDefault="00333BE1" w:rsidP="00333BE1">
            <w:pPr>
              <w:spacing w:before="100" w:beforeAutospacing="1" w:after="100" w:afterAutospacing="1" w:line="240" w:lineRule="auto"/>
              <w:jc w:val="right"/>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1,000</w:t>
            </w:r>
          </w:p>
        </w:tc>
      </w:tr>
    </w:tbl>
    <w:p w:rsidR="00333BE1" w:rsidRPr="00333BE1" w:rsidRDefault="00333BE1" w:rsidP="00333BE1">
      <w:pPr>
        <w:shd w:val="clear" w:color="auto" w:fill="EFEFE7"/>
        <w:spacing w:before="100" w:beforeAutospacing="1" w:after="100" w:afterAutospacing="1" w:line="240" w:lineRule="auto"/>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Using the Part A data:</w:t>
      </w:r>
    </w:p>
    <w:p w:rsidR="00AA3427" w:rsidRPr="00333BE1" w:rsidRDefault="00333BE1">
      <w:pPr>
        <w:rPr>
          <w:rFonts w:ascii="Verdana" w:hAnsi="Verdana"/>
          <w:b/>
          <w:color w:val="000000"/>
          <w:sz w:val="17"/>
          <w:szCs w:val="17"/>
          <w:shd w:val="clear" w:color="auto" w:fill="EFEFE7"/>
        </w:rPr>
      </w:pPr>
      <w:r w:rsidRPr="00333BE1">
        <w:rPr>
          <w:rFonts w:ascii="Verdana" w:hAnsi="Verdana"/>
          <w:b/>
          <w:color w:val="000000"/>
          <w:sz w:val="17"/>
          <w:szCs w:val="17"/>
          <w:shd w:val="clear" w:color="auto" w:fill="EFEFE7"/>
        </w:rPr>
        <w:t>Under which method (variable or absorption costing), will reported profits be higher? Explain why.</w:t>
      </w:r>
    </w:p>
    <w:p w:rsidR="00333BE1" w:rsidRDefault="00333BE1">
      <w:pPr>
        <w:rPr>
          <w:rFonts w:ascii="Verdana" w:hAnsi="Verdana"/>
          <w:color w:val="000000"/>
          <w:sz w:val="17"/>
          <w:szCs w:val="17"/>
          <w:shd w:val="clear" w:color="auto" w:fill="EFEFE7"/>
        </w:rPr>
      </w:pPr>
    </w:p>
    <w:tbl>
      <w:tblPr>
        <w:tblW w:w="3960" w:type="dxa"/>
        <w:tblCellSpacing w:w="0" w:type="dxa"/>
        <w:tblInd w:w="720" w:type="dxa"/>
        <w:tblBorders>
          <w:top w:val="single" w:sz="6" w:space="0" w:color="auto"/>
          <w:left w:val="single" w:sz="6" w:space="0" w:color="auto"/>
          <w:bottom w:val="single" w:sz="6" w:space="0" w:color="auto"/>
          <w:right w:val="single" w:sz="6" w:space="0" w:color="auto"/>
        </w:tblBorders>
        <w:shd w:val="clear" w:color="auto" w:fill="EFEFE7"/>
        <w:tblCellMar>
          <w:left w:w="0" w:type="dxa"/>
          <w:right w:w="0" w:type="dxa"/>
        </w:tblCellMar>
        <w:tblLook w:val="04A0"/>
      </w:tblPr>
      <w:tblGrid>
        <w:gridCol w:w="2190"/>
        <w:gridCol w:w="1800"/>
      </w:tblGrid>
      <w:tr w:rsidR="00333BE1" w:rsidRPr="00333BE1" w:rsidTr="00333BE1">
        <w:trPr>
          <w:tblCellSpacing w:w="0" w:type="dxa"/>
        </w:trPr>
        <w:tc>
          <w:tcPr>
            <w:tcW w:w="3960" w:type="dxa"/>
            <w:gridSpan w:val="2"/>
            <w:tcBorders>
              <w:top w:val="single" w:sz="6" w:space="0" w:color="auto"/>
              <w:left w:val="single" w:sz="6" w:space="0" w:color="auto"/>
              <w:bottom w:val="single" w:sz="6" w:space="0" w:color="auto"/>
              <w:right w:val="single" w:sz="6" w:space="0" w:color="auto"/>
            </w:tcBorders>
            <w:shd w:val="clear" w:color="auto" w:fill="EFEFE7"/>
            <w:noWrap/>
            <w:tcMar>
              <w:top w:w="60" w:type="dxa"/>
              <w:left w:w="60" w:type="dxa"/>
              <w:bottom w:w="60" w:type="dxa"/>
              <w:right w:w="60" w:type="dxa"/>
            </w:tcMar>
            <w:vAlign w:val="bottom"/>
            <w:hideMark/>
          </w:tcPr>
          <w:p w:rsidR="00333BE1" w:rsidRPr="00333BE1" w:rsidRDefault="00333BE1" w:rsidP="00333BE1">
            <w:pPr>
              <w:spacing w:before="100" w:beforeAutospacing="1" w:after="100" w:afterAutospacing="1" w:line="240" w:lineRule="auto"/>
              <w:rPr>
                <w:rFonts w:ascii="Verdana" w:eastAsia="Times New Roman" w:hAnsi="Verdana" w:cs="Times New Roman"/>
                <w:color w:val="000000"/>
                <w:sz w:val="17"/>
                <w:szCs w:val="17"/>
              </w:rPr>
            </w:pPr>
            <w:r w:rsidRPr="00333BE1">
              <w:rPr>
                <w:rFonts w:ascii="Verdana" w:eastAsia="Times New Roman" w:hAnsi="Verdana" w:cs="Times New Roman"/>
                <w:b/>
                <w:bCs/>
                <w:color w:val="000000"/>
                <w:sz w:val="17"/>
                <w:szCs w:val="17"/>
              </w:rPr>
              <w:t>Part B Data</w:t>
            </w:r>
          </w:p>
        </w:tc>
      </w:tr>
      <w:tr w:rsidR="00333BE1" w:rsidRPr="00333BE1" w:rsidTr="00333BE1">
        <w:trPr>
          <w:tblCellSpacing w:w="0" w:type="dxa"/>
        </w:trPr>
        <w:tc>
          <w:tcPr>
            <w:tcW w:w="3960" w:type="dxa"/>
            <w:gridSpan w:val="2"/>
            <w:tcBorders>
              <w:top w:val="single" w:sz="6" w:space="0" w:color="auto"/>
              <w:left w:val="single" w:sz="6" w:space="0" w:color="auto"/>
              <w:bottom w:val="single" w:sz="6" w:space="0" w:color="auto"/>
              <w:right w:val="single" w:sz="6" w:space="0" w:color="auto"/>
            </w:tcBorders>
            <w:shd w:val="clear" w:color="auto" w:fill="EFEFE7"/>
            <w:noWrap/>
            <w:tcMar>
              <w:top w:w="60" w:type="dxa"/>
              <w:left w:w="60" w:type="dxa"/>
              <w:bottom w:w="60" w:type="dxa"/>
              <w:right w:w="60" w:type="dxa"/>
            </w:tcMar>
            <w:vAlign w:val="bottom"/>
            <w:hideMark/>
          </w:tcPr>
          <w:p w:rsidR="00333BE1" w:rsidRPr="00333BE1" w:rsidRDefault="00333BE1" w:rsidP="00333BE1">
            <w:pPr>
              <w:spacing w:before="100" w:beforeAutospacing="1" w:after="100" w:afterAutospacing="1" w:line="240" w:lineRule="auto"/>
              <w:rPr>
                <w:rFonts w:ascii="Verdana" w:eastAsia="Times New Roman" w:hAnsi="Verdana" w:cs="Times New Roman"/>
                <w:color w:val="000000"/>
                <w:sz w:val="17"/>
                <w:szCs w:val="17"/>
              </w:rPr>
            </w:pPr>
            <w:r w:rsidRPr="00333BE1">
              <w:rPr>
                <w:rFonts w:ascii="Verdana" w:eastAsia="Times New Roman" w:hAnsi="Verdana" w:cs="Times New Roman"/>
                <w:b/>
                <w:bCs/>
                <w:color w:val="000000"/>
                <w:sz w:val="17"/>
                <w:szCs w:val="17"/>
              </w:rPr>
              <w:t>A firms cost structure is as follows:</w:t>
            </w:r>
          </w:p>
        </w:tc>
      </w:tr>
      <w:tr w:rsidR="00333BE1" w:rsidRPr="00333BE1" w:rsidTr="00333BE1">
        <w:trPr>
          <w:tblCellSpacing w:w="0" w:type="dxa"/>
        </w:trPr>
        <w:tc>
          <w:tcPr>
            <w:tcW w:w="2160" w:type="dxa"/>
            <w:tcBorders>
              <w:top w:val="single" w:sz="6" w:space="0" w:color="auto"/>
              <w:left w:val="single" w:sz="6" w:space="0" w:color="auto"/>
              <w:bottom w:val="single" w:sz="6" w:space="0" w:color="auto"/>
              <w:right w:val="single" w:sz="6" w:space="0" w:color="auto"/>
            </w:tcBorders>
            <w:shd w:val="clear" w:color="auto" w:fill="EFEFE7"/>
            <w:noWrap/>
            <w:tcMar>
              <w:top w:w="60" w:type="dxa"/>
              <w:left w:w="60" w:type="dxa"/>
              <w:bottom w:w="60" w:type="dxa"/>
              <w:right w:w="60" w:type="dxa"/>
            </w:tcMar>
            <w:vAlign w:val="bottom"/>
            <w:hideMark/>
          </w:tcPr>
          <w:p w:rsidR="00333BE1" w:rsidRPr="00333BE1" w:rsidRDefault="00333BE1" w:rsidP="00333BE1">
            <w:pPr>
              <w:spacing w:before="100" w:beforeAutospacing="1" w:after="100" w:afterAutospacing="1" w:line="240" w:lineRule="auto"/>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Monthly fixed costs</w:t>
            </w:r>
          </w:p>
        </w:tc>
        <w:tc>
          <w:tcPr>
            <w:tcW w:w="1800" w:type="dxa"/>
            <w:tcBorders>
              <w:top w:val="single" w:sz="6" w:space="0" w:color="auto"/>
              <w:left w:val="single" w:sz="6" w:space="0" w:color="auto"/>
              <w:bottom w:val="single" w:sz="6" w:space="0" w:color="auto"/>
              <w:right w:val="single" w:sz="6" w:space="0" w:color="auto"/>
            </w:tcBorders>
            <w:shd w:val="clear" w:color="auto" w:fill="EFEFE7"/>
            <w:tcMar>
              <w:top w:w="60" w:type="dxa"/>
              <w:left w:w="60" w:type="dxa"/>
              <w:bottom w:w="60" w:type="dxa"/>
              <w:right w:w="60" w:type="dxa"/>
            </w:tcMar>
            <w:hideMark/>
          </w:tcPr>
          <w:p w:rsidR="00333BE1" w:rsidRPr="00333BE1" w:rsidRDefault="00333BE1" w:rsidP="00333BE1">
            <w:pPr>
              <w:spacing w:before="100" w:beforeAutospacing="1" w:after="100" w:afterAutospacing="1" w:line="240" w:lineRule="auto"/>
              <w:jc w:val="right"/>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$20,000</w:t>
            </w:r>
          </w:p>
        </w:tc>
      </w:tr>
      <w:tr w:rsidR="00333BE1" w:rsidRPr="00333BE1" w:rsidTr="00333BE1">
        <w:trPr>
          <w:tblCellSpacing w:w="0" w:type="dxa"/>
        </w:trPr>
        <w:tc>
          <w:tcPr>
            <w:tcW w:w="2160" w:type="dxa"/>
            <w:tcBorders>
              <w:top w:val="single" w:sz="6" w:space="0" w:color="auto"/>
              <w:left w:val="single" w:sz="6" w:space="0" w:color="auto"/>
              <w:bottom w:val="single" w:sz="6" w:space="0" w:color="auto"/>
              <w:right w:val="single" w:sz="6" w:space="0" w:color="auto"/>
            </w:tcBorders>
            <w:shd w:val="clear" w:color="auto" w:fill="EFEFE7"/>
            <w:noWrap/>
            <w:tcMar>
              <w:top w:w="60" w:type="dxa"/>
              <w:left w:w="60" w:type="dxa"/>
              <w:bottom w:w="60" w:type="dxa"/>
              <w:right w:w="60" w:type="dxa"/>
            </w:tcMar>
            <w:vAlign w:val="bottom"/>
            <w:hideMark/>
          </w:tcPr>
          <w:p w:rsidR="00333BE1" w:rsidRPr="00333BE1" w:rsidRDefault="00333BE1" w:rsidP="00333BE1">
            <w:pPr>
              <w:spacing w:before="100" w:beforeAutospacing="1" w:after="100" w:afterAutospacing="1" w:line="240" w:lineRule="auto"/>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Variable cost/unit</w:t>
            </w:r>
          </w:p>
        </w:tc>
        <w:tc>
          <w:tcPr>
            <w:tcW w:w="1800" w:type="dxa"/>
            <w:tcBorders>
              <w:top w:val="single" w:sz="6" w:space="0" w:color="auto"/>
              <w:left w:val="single" w:sz="6" w:space="0" w:color="auto"/>
              <w:bottom w:val="single" w:sz="6" w:space="0" w:color="auto"/>
              <w:right w:val="single" w:sz="6" w:space="0" w:color="auto"/>
            </w:tcBorders>
            <w:shd w:val="clear" w:color="auto" w:fill="EFEFE7"/>
            <w:tcMar>
              <w:top w:w="60" w:type="dxa"/>
              <w:left w:w="60" w:type="dxa"/>
              <w:bottom w:w="60" w:type="dxa"/>
              <w:right w:w="60" w:type="dxa"/>
            </w:tcMar>
            <w:hideMark/>
          </w:tcPr>
          <w:p w:rsidR="00333BE1" w:rsidRPr="00333BE1" w:rsidRDefault="00333BE1" w:rsidP="00333BE1">
            <w:pPr>
              <w:spacing w:before="100" w:beforeAutospacing="1" w:after="100" w:afterAutospacing="1" w:line="240" w:lineRule="auto"/>
              <w:jc w:val="right"/>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$80</w:t>
            </w:r>
          </w:p>
        </w:tc>
      </w:tr>
      <w:tr w:rsidR="00333BE1" w:rsidRPr="00333BE1" w:rsidTr="00333BE1">
        <w:trPr>
          <w:tblCellSpacing w:w="0" w:type="dxa"/>
        </w:trPr>
        <w:tc>
          <w:tcPr>
            <w:tcW w:w="2160" w:type="dxa"/>
            <w:tcBorders>
              <w:top w:val="single" w:sz="6" w:space="0" w:color="auto"/>
              <w:left w:val="single" w:sz="6" w:space="0" w:color="auto"/>
              <w:bottom w:val="single" w:sz="6" w:space="0" w:color="auto"/>
              <w:right w:val="single" w:sz="6" w:space="0" w:color="auto"/>
            </w:tcBorders>
            <w:shd w:val="clear" w:color="auto" w:fill="EFEFE7"/>
            <w:noWrap/>
            <w:tcMar>
              <w:top w:w="60" w:type="dxa"/>
              <w:left w:w="60" w:type="dxa"/>
              <w:bottom w:w="60" w:type="dxa"/>
              <w:right w:w="60" w:type="dxa"/>
            </w:tcMar>
            <w:vAlign w:val="bottom"/>
            <w:hideMark/>
          </w:tcPr>
          <w:p w:rsidR="00333BE1" w:rsidRPr="00333BE1" w:rsidRDefault="00333BE1" w:rsidP="00333BE1">
            <w:pPr>
              <w:spacing w:before="100" w:beforeAutospacing="1" w:after="100" w:afterAutospacing="1" w:line="240" w:lineRule="auto"/>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Selling price/unit</w:t>
            </w:r>
          </w:p>
        </w:tc>
        <w:tc>
          <w:tcPr>
            <w:tcW w:w="1800" w:type="dxa"/>
            <w:tcBorders>
              <w:top w:val="single" w:sz="6" w:space="0" w:color="auto"/>
              <w:left w:val="single" w:sz="6" w:space="0" w:color="auto"/>
              <w:bottom w:val="single" w:sz="6" w:space="0" w:color="auto"/>
              <w:right w:val="single" w:sz="6" w:space="0" w:color="auto"/>
            </w:tcBorders>
            <w:shd w:val="clear" w:color="auto" w:fill="EFEFE7"/>
            <w:tcMar>
              <w:top w:w="60" w:type="dxa"/>
              <w:left w:w="60" w:type="dxa"/>
              <w:bottom w:w="60" w:type="dxa"/>
              <w:right w:w="60" w:type="dxa"/>
            </w:tcMar>
            <w:hideMark/>
          </w:tcPr>
          <w:p w:rsidR="00333BE1" w:rsidRPr="00333BE1" w:rsidRDefault="00333BE1" w:rsidP="00333BE1">
            <w:pPr>
              <w:spacing w:before="100" w:beforeAutospacing="1" w:after="100" w:afterAutospacing="1" w:line="240" w:lineRule="auto"/>
              <w:jc w:val="right"/>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$100</w:t>
            </w:r>
          </w:p>
        </w:tc>
      </w:tr>
    </w:tbl>
    <w:p w:rsidR="00333BE1" w:rsidRPr="00333BE1" w:rsidRDefault="00333BE1" w:rsidP="00333BE1">
      <w:pPr>
        <w:shd w:val="clear" w:color="auto" w:fill="EFEFE7"/>
        <w:spacing w:before="100" w:beforeAutospacing="1" w:after="100" w:afterAutospacing="1" w:line="240" w:lineRule="auto"/>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Using the Part B data:</w:t>
      </w:r>
    </w:p>
    <w:p w:rsidR="00333BE1" w:rsidRPr="00333BE1" w:rsidRDefault="00333BE1" w:rsidP="00333BE1">
      <w:pPr>
        <w:numPr>
          <w:ilvl w:val="0"/>
          <w:numId w:val="1"/>
        </w:numPr>
        <w:shd w:val="clear" w:color="auto" w:fill="EFEFE7"/>
        <w:spacing w:before="100" w:beforeAutospacing="1" w:after="100" w:afterAutospacing="1" w:line="240" w:lineRule="auto"/>
        <w:ind w:left="225"/>
        <w:rPr>
          <w:rFonts w:ascii="Verdana" w:eastAsia="Times New Roman" w:hAnsi="Verdana" w:cs="Times New Roman"/>
          <w:b/>
          <w:color w:val="000000"/>
          <w:sz w:val="17"/>
          <w:szCs w:val="17"/>
        </w:rPr>
      </w:pPr>
      <w:r w:rsidRPr="00333BE1">
        <w:rPr>
          <w:rFonts w:ascii="Verdana" w:eastAsia="Times New Roman" w:hAnsi="Verdana" w:cs="Times New Roman"/>
          <w:b/>
          <w:color w:val="000000"/>
          <w:sz w:val="17"/>
          <w:szCs w:val="17"/>
        </w:rPr>
        <w:t>Calculate the firm's break-even point in units of production.</w:t>
      </w:r>
    </w:p>
    <w:p w:rsidR="00333BE1" w:rsidRPr="00333BE1" w:rsidRDefault="00333BE1" w:rsidP="00333BE1">
      <w:pPr>
        <w:numPr>
          <w:ilvl w:val="0"/>
          <w:numId w:val="1"/>
        </w:numPr>
        <w:shd w:val="clear" w:color="auto" w:fill="EFEFE7"/>
        <w:spacing w:before="100" w:beforeAutospacing="1" w:after="100" w:afterAutospacing="1" w:line="240" w:lineRule="auto"/>
        <w:ind w:left="225"/>
        <w:rPr>
          <w:rFonts w:ascii="Verdana" w:eastAsia="Times New Roman" w:hAnsi="Verdana" w:cs="Times New Roman"/>
          <w:b/>
          <w:color w:val="000000"/>
          <w:sz w:val="17"/>
          <w:szCs w:val="17"/>
        </w:rPr>
      </w:pPr>
      <w:r w:rsidRPr="00333BE1">
        <w:rPr>
          <w:rFonts w:ascii="Verdana" w:eastAsia="Times New Roman" w:hAnsi="Verdana" w:cs="Times New Roman"/>
          <w:b/>
          <w:color w:val="000000"/>
          <w:sz w:val="17"/>
          <w:szCs w:val="17"/>
        </w:rPr>
        <w:t>Predict the firm's profitability if volume is 1,200 units.</w:t>
      </w:r>
    </w:p>
    <w:p w:rsidR="00333BE1" w:rsidRPr="00333BE1" w:rsidRDefault="00333BE1" w:rsidP="00333BE1">
      <w:pPr>
        <w:shd w:val="clear" w:color="auto" w:fill="EFEFE7"/>
        <w:spacing w:before="100" w:beforeAutospacing="1" w:after="100" w:afterAutospacing="1" w:line="240" w:lineRule="auto"/>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You are the accounting manager in a medium-sized manufacturing company. The company's first year just ended, and the accounting department is working on closing the books. You plan to present information about unit costs and profits, to the general</w:t>
      </w:r>
      <w:r w:rsidRPr="00333BE1">
        <w:rPr>
          <w:rFonts w:ascii="Verdana" w:eastAsia="Times New Roman" w:hAnsi="Verdana" w:cs="Times New Roman"/>
          <w:b/>
          <w:bCs/>
          <w:color w:val="000000"/>
          <w:sz w:val="17"/>
          <w:szCs w:val="17"/>
        </w:rPr>
        <w:t> </w:t>
      </w:r>
      <w:r w:rsidRPr="00333BE1">
        <w:rPr>
          <w:rFonts w:ascii="Verdana" w:eastAsia="Times New Roman" w:hAnsi="Verdana" w:cs="Times New Roman"/>
          <w:color w:val="000000"/>
          <w:sz w:val="17"/>
          <w:szCs w:val="17"/>
        </w:rPr>
        <w:t>manager (GM) in two different formats. One method uses variable costing, and the other uses absorption costing. The GM will need to choose one or the other for accounting purposes. Whatever method he chooses will have to remain the method going forward as the choice of the method could impact reported profitability and therefore taxes. (The IRS frowns on firms making accounting methodology changes that impact any period's profits.)</w:t>
      </w:r>
    </w:p>
    <w:p w:rsidR="00333BE1" w:rsidRPr="00333BE1" w:rsidRDefault="00333BE1" w:rsidP="00333BE1">
      <w:pPr>
        <w:shd w:val="clear" w:color="auto" w:fill="EFEFE7"/>
        <w:spacing w:before="100" w:beforeAutospacing="1" w:after="100" w:afterAutospacing="1" w:line="240" w:lineRule="auto"/>
        <w:rPr>
          <w:rFonts w:ascii="Verdana" w:eastAsia="Times New Roman" w:hAnsi="Verdana" w:cs="Times New Roman"/>
          <w:color w:val="000000"/>
          <w:sz w:val="17"/>
          <w:szCs w:val="17"/>
        </w:rPr>
      </w:pPr>
      <w:r w:rsidRPr="00333BE1">
        <w:rPr>
          <w:rFonts w:ascii="Verdana" w:eastAsia="Times New Roman" w:hAnsi="Verdana" w:cs="Times New Roman"/>
          <w:color w:val="000000"/>
          <w:sz w:val="17"/>
          <w:szCs w:val="17"/>
        </w:rPr>
        <w:t>You explain to the GM that if you choose to use the absorptive method, it will not only impact the reported profits of the year that just ended but will have an impact on the reported profits of the upcoming year, too. He doesn't understand what this means and asks for a more detailed explanation.</w:t>
      </w:r>
    </w:p>
    <w:p w:rsidR="00333BE1" w:rsidRPr="00333BE1" w:rsidRDefault="00473921" w:rsidP="00333BE1">
      <w:pPr>
        <w:shd w:val="clear" w:color="auto" w:fill="EFEFE7"/>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E</w:t>
      </w:r>
      <w:r w:rsidR="00333BE1" w:rsidRPr="00333BE1">
        <w:rPr>
          <w:rFonts w:ascii="Verdana" w:eastAsia="Times New Roman" w:hAnsi="Verdana" w:cs="Times New Roman"/>
          <w:color w:val="000000"/>
          <w:sz w:val="17"/>
          <w:szCs w:val="17"/>
        </w:rPr>
        <w:t>xplain to him:</w:t>
      </w:r>
    </w:p>
    <w:p w:rsidR="00333BE1" w:rsidRPr="00333BE1" w:rsidRDefault="00333BE1" w:rsidP="00333BE1">
      <w:pPr>
        <w:numPr>
          <w:ilvl w:val="0"/>
          <w:numId w:val="2"/>
        </w:numPr>
        <w:shd w:val="clear" w:color="auto" w:fill="EFEFE7"/>
        <w:spacing w:before="100" w:beforeAutospacing="1" w:after="100" w:afterAutospacing="1" w:line="240" w:lineRule="auto"/>
        <w:ind w:left="225"/>
        <w:rPr>
          <w:rFonts w:ascii="Verdana" w:eastAsia="Times New Roman" w:hAnsi="Verdana" w:cs="Times New Roman"/>
          <w:b/>
          <w:color w:val="000000"/>
          <w:sz w:val="17"/>
          <w:szCs w:val="17"/>
        </w:rPr>
      </w:pPr>
      <w:r w:rsidRPr="00333BE1">
        <w:rPr>
          <w:rFonts w:ascii="Verdana" w:eastAsia="Times New Roman" w:hAnsi="Verdana" w:cs="Times New Roman"/>
          <w:b/>
          <w:color w:val="000000"/>
          <w:sz w:val="17"/>
          <w:szCs w:val="17"/>
        </w:rPr>
        <w:t>How absorption costing differs from variable costing</w:t>
      </w:r>
    </w:p>
    <w:p w:rsidR="00333BE1" w:rsidRPr="00333BE1" w:rsidRDefault="00333BE1" w:rsidP="00333BE1">
      <w:pPr>
        <w:numPr>
          <w:ilvl w:val="0"/>
          <w:numId w:val="2"/>
        </w:numPr>
        <w:shd w:val="clear" w:color="auto" w:fill="EFEFE7"/>
        <w:spacing w:before="100" w:beforeAutospacing="1" w:after="100" w:afterAutospacing="1" w:line="240" w:lineRule="auto"/>
        <w:ind w:left="225"/>
        <w:rPr>
          <w:rFonts w:ascii="Verdana" w:eastAsia="Times New Roman" w:hAnsi="Verdana" w:cs="Times New Roman"/>
          <w:b/>
          <w:color w:val="000000"/>
          <w:sz w:val="17"/>
          <w:szCs w:val="17"/>
        </w:rPr>
      </w:pPr>
      <w:r w:rsidRPr="00333BE1">
        <w:rPr>
          <w:rFonts w:ascii="Verdana" w:eastAsia="Times New Roman" w:hAnsi="Verdana" w:cs="Times New Roman"/>
          <w:b/>
          <w:color w:val="000000"/>
          <w:sz w:val="17"/>
          <w:szCs w:val="17"/>
        </w:rPr>
        <w:t>How the absorptive method will not only impact the reported profits of the year that just ended but will also have an impact on the reported profits of the upcoming year</w:t>
      </w:r>
    </w:p>
    <w:p w:rsidR="00333BE1" w:rsidRDefault="00333BE1" w:rsidP="00333BE1">
      <w:pPr>
        <w:shd w:val="clear" w:color="auto" w:fill="EFEFE7"/>
        <w:spacing w:before="100" w:beforeAutospacing="1" w:after="100" w:afterAutospacing="1" w:line="240" w:lineRule="auto"/>
        <w:ind w:left="225"/>
        <w:rPr>
          <w:rFonts w:ascii="Verdana" w:eastAsia="Times New Roman" w:hAnsi="Verdana" w:cs="Times New Roman"/>
          <w:color w:val="000000"/>
          <w:sz w:val="17"/>
          <w:szCs w:val="17"/>
        </w:rPr>
      </w:pPr>
      <w:bookmarkStart w:id="0" w:name="_GoBack"/>
      <w:bookmarkEnd w:id="0"/>
    </w:p>
    <w:sectPr w:rsidR="00333BE1" w:rsidSect="00756D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32C5D"/>
    <w:multiLevelType w:val="multilevel"/>
    <w:tmpl w:val="5498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B25F7"/>
    <w:multiLevelType w:val="multilevel"/>
    <w:tmpl w:val="7F2C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33BE1"/>
    <w:rsid w:val="001310F0"/>
    <w:rsid w:val="0017491E"/>
    <w:rsid w:val="00333BE1"/>
    <w:rsid w:val="00473921"/>
    <w:rsid w:val="00756DF2"/>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D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B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3BE1"/>
    <w:rPr>
      <w:b/>
      <w:bCs/>
    </w:rPr>
  </w:style>
  <w:style w:type="character" w:customStyle="1" w:styleId="apple-converted-space">
    <w:name w:val="apple-converted-space"/>
    <w:basedOn w:val="DefaultParagraphFont"/>
    <w:rsid w:val="00333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B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3BE1"/>
    <w:rPr>
      <w:b/>
      <w:bCs/>
    </w:rPr>
  </w:style>
  <w:style w:type="character" w:customStyle="1" w:styleId="apple-converted-space">
    <w:name w:val="apple-converted-space"/>
    <w:basedOn w:val="DefaultParagraphFont"/>
    <w:rsid w:val="00333BE1"/>
  </w:style>
</w:styles>
</file>

<file path=word/webSettings.xml><?xml version="1.0" encoding="utf-8"?>
<w:webSettings xmlns:r="http://schemas.openxmlformats.org/officeDocument/2006/relationships" xmlns:w="http://schemas.openxmlformats.org/wordprocessingml/2006/main">
  <w:divs>
    <w:div w:id="1224637732">
      <w:bodyDiv w:val="1"/>
      <w:marLeft w:val="0"/>
      <w:marRight w:val="0"/>
      <w:marTop w:val="0"/>
      <w:marBottom w:val="0"/>
      <w:divBdr>
        <w:top w:val="none" w:sz="0" w:space="0" w:color="auto"/>
        <w:left w:val="none" w:sz="0" w:space="0" w:color="auto"/>
        <w:bottom w:val="none" w:sz="0" w:space="0" w:color="auto"/>
        <w:right w:val="none" w:sz="0" w:space="0" w:color="auto"/>
      </w:divBdr>
    </w:div>
    <w:div w:id="1297494722">
      <w:bodyDiv w:val="1"/>
      <w:marLeft w:val="0"/>
      <w:marRight w:val="0"/>
      <w:marTop w:val="0"/>
      <w:marBottom w:val="0"/>
      <w:divBdr>
        <w:top w:val="none" w:sz="0" w:space="0" w:color="auto"/>
        <w:left w:val="none" w:sz="0" w:space="0" w:color="auto"/>
        <w:bottom w:val="none" w:sz="0" w:space="0" w:color="auto"/>
        <w:right w:val="none" w:sz="0" w:space="0" w:color="auto"/>
      </w:divBdr>
    </w:div>
    <w:div w:id="167190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dc:description/>
  <cp:lastModifiedBy>Melissa</cp:lastModifiedBy>
  <cp:revision>2</cp:revision>
  <dcterms:created xsi:type="dcterms:W3CDTF">2013-02-01T18:14:00Z</dcterms:created>
  <dcterms:modified xsi:type="dcterms:W3CDTF">2013-03-01T15:17:00Z</dcterms:modified>
</cp:coreProperties>
</file>