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DD" w:rsidRPr="00487AA9" w:rsidRDefault="00E16ADD" w:rsidP="00E16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  <w:r w:rsidRPr="00487AA9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Balance Sheet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5"/>
        <w:gridCol w:w="2370"/>
        <w:gridCol w:w="2385"/>
      </w:tblGrid>
      <w:tr w:rsidR="00E16ADD" w:rsidRPr="00487AA9" w:rsidTr="00AC4A12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ASSETS</w:t>
            </w:r>
          </w:p>
        </w:tc>
        <w:tc>
          <w:tcPr>
            <w:tcW w:w="1250" w:type="pct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31, 2009</w:t>
            </w:r>
          </w:p>
        </w:tc>
        <w:tc>
          <w:tcPr>
            <w:tcW w:w="1250" w:type="pct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Cash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$20,900,000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Marketable Securities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$117,000,000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Accounts Receivable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$33,000,000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Less: Allowance for Bad Debts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$(880,000)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Accounts Receivable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$32,120,000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Inventory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Raw Materials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$2,000,000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Work-in-process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$1,000,000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Finished Goods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$5,000,000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Inventory Purchased for Resale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$24,000,000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Inventory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$32,000,000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Plant, Property and Equipment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$6,700,000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Less: Accumulated Depreciation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$(320,000)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Plant, Property and Equipment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$6,380,000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Prepaid Expenses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$200,000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Goodwill and Other Purchased Intangibles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$28,000,000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Less: Amortization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$(700,000)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Net Goodwill and Other Purchased Intangibles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$27,300,000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Assets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$235,900,000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LIABILITIES AND OWNERS' EQUITY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Accounts Payable 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$22,000,000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Accrued Advertising 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$11,800,000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Other Liabilities and Accrued Expense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$1,400,000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Current Portion of Long-Term Debt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$2,300,000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Long Term Debt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$57,400,000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Preferred Stock, $100 par value per share,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100,000 authorized, 0 shares issued and outstanding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Common Stock, $1 par value per share,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250,000,000 shares authorized, 13,000,000 shares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issued, 12,900,000 outstanding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$13,000,000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Paid-in-Capital in excess of par value, Common Stock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$117,000,000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Treasury Stock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$(1,000,000)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Retained Earnings (less Cash Dividends Paid)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$12,000,000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$11,000,000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Liabilities and Owner's Equity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$235,900,000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16ADD" w:rsidRPr="00487AA9" w:rsidRDefault="00E16ADD" w:rsidP="00E1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AA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97.8pt;height:1.5pt" o:hrpct="850" o:hralign="center" o:hrstd="t" o:hr="t" fillcolor="#a0a0a0" stroked="f"/>
        </w:pict>
      </w:r>
    </w:p>
    <w:p w:rsidR="00E16ADD" w:rsidRDefault="00E16ADD" w:rsidP="00E16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incomestatement"/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5"/>
        <w:gridCol w:w="2370"/>
        <w:gridCol w:w="2385"/>
      </w:tblGrid>
      <w:tr w:rsidR="00E16ADD" w:rsidRPr="00487AA9" w:rsidTr="00AC4A12">
        <w:trPr>
          <w:tblCellSpacing w:w="15" w:type="dxa"/>
        </w:trPr>
        <w:tc>
          <w:tcPr>
            <w:tcW w:w="2468" w:type="pct"/>
            <w:vAlign w:val="bottom"/>
            <w:hideMark/>
          </w:tcPr>
          <w:p w:rsidR="00E16ADD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</w:rPr>
            </w:pPr>
            <w:bookmarkStart w:id="1" w:name="_GoBack"/>
            <w:bookmarkEnd w:id="1"/>
            <w:r w:rsidRPr="00487AA9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</w:rPr>
              <w:t>Income Statement</w:t>
            </w:r>
            <w:bookmarkEnd w:id="0"/>
          </w:p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31, 2009</w:t>
            </w:r>
          </w:p>
        </w:tc>
        <w:tc>
          <w:tcPr>
            <w:tcW w:w="1234" w:type="pct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31, 2008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Sales Revenues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$51,000,000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$10,300,000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Less: Sales Returns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$(1,000,000)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$(300,000)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Sales Revenues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$50,000,000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$10,000,000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Less: Cost of Goods Sold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$(9,000,000)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$(4,000,000)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Gross Profit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$41,000,000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$6,000,000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Operating Expenses: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Advertising and Sales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$(26,000,000)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$(3,000,000)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$(160,000)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Salaries and Wages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$(1,700,000)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$(1,400,000)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Product Development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$(4,000,000)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$(1,200,000)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Merger and Acquisition Related Costs, including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Amortization of Goodwill and Other Intangibles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$(700,000)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Operating Expenses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$(32,560,000)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Income from Continuing Operations Before Income Taxes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$8,440,000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Less: Income Taxes at 35%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$(2,954,000)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Income from Continuing Operations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$5,486,000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Discontinued Operations: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Income from Operations of Discontinued Division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(less applicable income taxes)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$350,000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Loss on Disposal of Discontinued Division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(less applicable income taxes)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$(150,000)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Gain from Discontinued Operations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$200,000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Extraordinary Items: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Loss from fire (less applicable income taxes)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$(200,000)</w:t>
            </w:r>
          </w:p>
        </w:tc>
        <w:tc>
          <w:tcPr>
            <w:tcW w:w="0" w:type="auto"/>
            <w:vAlign w:val="bottom"/>
            <w:hideMark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ADD" w:rsidRPr="00487AA9" w:rsidTr="00AC4A12">
        <w:trPr>
          <w:tblCellSpacing w:w="15" w:type="dxa"/>
        </w:trPr>
        <w:tc>
          <w:tcPr>
            <w:tcW w:w="0" w:type="auto"/>
            <w:vAlign w:val="bottom"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8"/>
              <w:gridCol w:w="238"/>
              <w:gridCol w:w="424"/>
            </w:tblGrid>
            <w:tr w:rsidR="00E16ADD" w:rsidRPr="00487AA9" w:rsidTr="00AC4A1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E16ADD" w:rsidRPr="00487AA9" w:rsidRDefault="00E16ADD" w:rsidP="00AC4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A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Net Income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16ADD" w:rsidRPr="00487AA9" w:rsidRDefault="00E16ADD" w:rsidP="00AC4A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16ADD" w:rsidRPr="00487AA9" w:rsidRDefault="00E16ADD" w:rsidP="00AC4A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A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16ADD" w:rsidRPr="00487AA9" w:rsidRDefault="00E16ADD" w:rsidP="00AC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AA9">
              <w:rPr>
                <w:rFonts w:ascii="Times New Roman" w:eastAsia="Times New Roman" w:hAnsi="Times New Roman" w:cs="Times New Roman"/>
                <w:sz w:val="24"/>
                <w:szCs w:val="24"/>
              </w:rPr>
              <w:t>$5,486,000</w:t>
            </w:r>
          </w:p>
        </w:tc>
        <w:tc>
          <w:tcPr>
            <w:tcW w:w="0" w:type="auto"/>
            <w:vAlign w:val="bottom"/>
          </w:tcPr>
          <w:p w:rsidR="00E16ADD" w:rsidRPr="00487AA9" w:rsidRDefault="00E16ADD" w:rsidP="00AC4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759D" w:rsidRDefault="00B5759D"/>
    <w:sectPr w:rsidR="00B57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DD"/>
    <w:rsid w:val="00B5759D"/>
    <w:rsid w:val="00E1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2013-02-03T02:41:00Z</dcterms:created>
  <dcterms:modified xsi:type="dcterms:W3CDTF">2013-02-03T02:42:00Z</dcterms:modified>
</cp:coreProperties>
</file>