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0D" w:rsidRPr="0083600D" w:rsidRDefault="0083600D" w:rsidP="0083600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The company's CEO just returned from a seminar on management accounting and some new tools that can be used to assist in management of the business. One of the new tools she learned about is referred to as </w:t>
      </w:r>
      <w:r w:rsidRPr="0083600D">
        <w:rPr>
          <w:rFonts w:ascii="Verdana" w:eastAsia="Times New Roman" w:hAnsi="Verdana" w:cs="Times New Roman"/>
          <w:i/>
          <w:iCs/>
          <w:color w:val="000000"/>
          <w:sz w:val="17"/>
          <w:szCs w:val="17"/>
        </w:rPr>
        <w:t>contribution format income statements</w:t>
      </w:r>
      <w:r w:rsidRPr="0083600D">
        <w:rPr>
          <w:rFonts w:ascii="Verdana" w:eastAsia="Times New Roman" w:hAnsi="Verdana" w:cs="Times New Roman"/>
          <w:color w:val="000000"/>
          <w:sz w:val="17"/>
          <w:szCs w:val="17"/>
        </w:rPr>
        <w:t>.</w:t>
      </w:r>
    </w:p>
    <w:p w:rsidR="0083600D" w:rsidRPr="0083600D" w:rsidRDefault="0083600D" w:rsidP="0083600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It is time for the accounting department to prepare the month-end income statement. In the past, the standard format income statement, as shown below, has been used. But for the first time, the CEO has asked that the contribution format be used instead.</w:t>
      </w:r>
    </w:p>
    <w:p w:rsidR="0083600D" w:rsidRPr="0083600D" w:rsidRDefault="0083600D" w:rsidP="0083600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While most of the different expense categories are easy to analyze, the utility expense seems to display characteristics of both variable costs and fixed costs. To help prepare this income statement format, the accounting department collected data from the past 12 months. This data included actual utility costs as compared to each month's business volume. Some of it is shown below.</w:t>
      </w:r>
    </w:p>
    <w:tbl>
      <w:tblPr>
        <w:tblW w:w="6300" w:type="dxa"/>
        <w:tblCellSpacing w:w="0" w:type="dxa"/>
        <w:tblInd w:w="72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55"/>
        <w:gridCol w:w="1545"/>
        <w:gridCol w:w="3690"/>
      </w:tblGrid>
      <w:tr w:rsidR="0083600D" w:rsidRPr="0083600D" w:rsidTr="0083600D">
        <w:trPr>
          <w:tblCellSpacing w:w="0" w:type="dxa"/>
        </w:trPr>
        <w:tc>
          <w:tcPr>
            <w:tcW w:w="6300" w:type="dxa"/>
            <w:gridSpan w:val="3"/>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u w:val="single"/>
              </w:rPr>
              <w:t>History of Utility Expenses</w:t>
            </w:r>
          </w:p>
        </w:tc>
      </w:tr>
      <w:tr w:rsidR="0083600D" w:rsidRPr="0083600D" w:rsidTr="0083600D">
        <w:trPr>
          <w:tblCellSpacing w:w="0" w:type="dxa"/>
        </w:trPr>
        <w:tc>
          <w:tcPr>
            <w:tcW w:w="112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c>
          <w:tcPr>
            <w:tcW w:w="151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rPr>
              <w:t>Utility Costs</w:t>
            </w:r>
          </w:p>
        </w:tc>
        <w:tc>
          <w:tcPr>
            <w:tcW w:w="36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rPr>
              <w:t>Comment</w:t>
            </w:r>
          </w:p>
        </w:tc>
      </w:tr>
      <w:tr w:rsidR="0083600D" w:rsidRPr="0083600D" w:rsidTr="0083600D">
        <w:trPr>
          <w:tblCellSpacing w:w="0" w:type="dxa"/>
        </w:trPr>
        <w:tc>
          <w:tcPr>
            <w:tcW w:w="112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rPr>
              <w:t>January</w:t>
            </w:r>
          </w:p>
        </w:tc>
        <w:tc>
          <w:tcPr>
            <w:tcW w:w="151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$10,000</w:t>
            </w:r>
          </w:p>
        </w:tc>
        <w:tc>
          <w:tcPr>
            <w:tcW w:w="36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closed the entire month for repairs</w:t>
            </w:r>
          </w:p>
        </w:tc>
      </w:tr>
      <w:tr w:rsidR="0083600D" w:rsidRPr="0083600D" w:rsidTr="0083600D">
        <w:trPr>
          <w:tblCellSpacing w:w="0" w:type="dxa"/>
        </w:trPr>
        <w:tc>
          <w:tcPr>
            <w:tcW w:w="112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rPr>
              <w:t>February</w:t>
            </w:r>
          </w:p>
        </w:tc>
        <w:tc>
          <w:tcPr>
            <w:tcW w:w="151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$11,000</w:t>
            </w:r>
          </w:p>
        </w:tc>
        <w:tc>
          <w:tcPr>
            <w:tcW w:w="36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produced 5,000 widgets</w:t>
            </w:r>
          </w:p>
        </w:tc>
      </w:tr>
      <w:tr w:rsidR="0083600D" w:rsidRPr="0083600D" w:rsidTr="0083600D">
        <w:trPr>
          <w:tblCellSpacing w:w="0" w:type="dxa"/>
        </w:trPr>
        <w:tc>
          <w:tcPr>
            <w:tcW w:w="112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rPr>
              <w:t>March</w:t>
            </w:r>
          </w:p>
        </w:tc>
        <w:tc>
          <w:tcPr>
            <w:tcW w:w="151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$10,600</w:t>
            </w:r>
          </w:p>
        </w:tc>
        <w:tc>
          <w:tcPr>
            <w:tcW w:w="36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produced 3,000 widgets</w:t>
            </w:r>
          </w:p>
        </w:tc>
      </w:tr>
      <w:tr w:rsidR="0083600D" w:rsidRPr="0083600D" w:rsidTr="0083600D">
        <w:trPr>
          <w:tblCellSpacing w:w="0" w:type="dxa"/>
        </w:trPr>
        <w:tc>
          <w:tcPr>
            <w:tcW w:w="112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rPr>
              <w:t>April</w:t>
            </w:r>
          </w:p>
        </w:tc>
        <w:tc>
          <w:tcPr>
            <w:tcW w:w="151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$11,600</w:t>
            </w:r>
          </w:p>
        </w:tc>
        <w:tc>
          <w:tcPr>
            <w:tcW w:w="36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produced 8,000 widgets</w:t>
            </w:r>
          </w:p>
        </w:tc>
      </w:tr>
    </w:tbl>
    <w:p w:rsidR="0083600D" w:rsidRPr="0083600D" w:rsidRDefault="0083600D" w:rsidP="0083600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Submit 1 Excel file including the following information:</w:t>
      </w:r>
    </w:p>
    <w:p w:rsidR="0083600D" w:rsidRPr="0083600D" w:rsidRDefault="0083600D" w:rsidP="0083600D">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Even when the plant was shut down for a month, what was the utility expense that month?</w:t>
      </w:r>
    </w:p>
    <w:p w:rsidR="0083600D" w:rsidRPr="0083600D" w:rsidRDefault="0083600D" w:rsidP="0083600D">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In February, what was the amount of utilities that was fixed, and what portion was variable?</w:t>
      </w:r>
    </w:p>
    <w:p w:rsidR="0083600D" w:rsidRPr="0083600D" w:rsidRDefault="0083600D" w:rsidP="0083600D">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Based on the rest of the data, what is the variable portion of utility costs per unit in February?</w:t>
      </w:r>
    </w:p>
    <w:p w:rsidR="0083600D" w:rsidRPr="0083600D" w:rsidRDefault="0083600D" w:rsidP="0083600D">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If June's expected units produced are 9,000, what would the expected utility costs be? Show your calculations.</w:t>
      </w:r>
    </w:p>
    <w:p w:rsidR="0083600D" w:rsidRPr="0083600D" w:rsidRDefault="0083600D" w:rsidP="0083600D">
      <w:pPr>
        <w:numPr>
          <w:ilvl w:val="1"/>
          <w:numId w:val="1"/>
        </w:numPr>
        <w:shd w:val="clear" w:color="auto" w:fill="FFFFFF"/>
        <w:spacing w:before="100" w:beforeAutospacing="1" w:after="100" w:afterAutospacing="1" w:line="240" w:lineRule="auto"/>
        <w:ind w:left="450"/>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Prepare a contribution format income statement:</w:t>
      </w:r>
    </w:p>
    <w:p w:rsidR="0083600D" w:rsidRPr="0083600D" w:rsidRDefault="0083600D" w:rsidP="0083600D">
      <w:pPr>
        <w:numPr>
          <w:ilvl w:val="1"/>
          <w:numId w:val="1"/>
        </w:numPr>
        <w:shd w:val="clear" w:color="auto" w:fill="FFFFFF"/>
        <w:spacing w:before="100" w:beforeAutospacing="1" w:after="100" w:afterAutospacing="1" w:line="240" w:lineRule="auto"/>
        <w:ind w:left="450"/>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use this month's standard formatted income statement below</w:t>
      </w:r>
    </w:p>
    <w:p w:rsidR="0083600D" w:rsidRPr="0083600D" w:rsidRDefault="0083600D" w:rsidP="0083600D">
      <w:pPr>
        <w:numPr>
          <w:ilvl w:val="1"/>
          <w:numId w:val="1"/>
        </w:numPr>
        <w:shd w:val="clear" w:color="auto" w:fill="FFFFFF"/>
        <w:spacing w:before="100" w:beforeAutospacing="1" w:after="100" w:afterAutospacing="1" w:line="240" w:lineRule="auto"/>
        <w:ind w:left="450"/>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use the History of Utility Expenses provided</w:t>
      </w:r>
    </w:p>
    <w:p w:rsidR="0083600D" w:rsidRPr="0083600D" w:rsidRDefault="0083600D" w:rsidP="0083600D">
      <w:pPr>
        <w:numPr>
          <w:ilvl w:val="1"/>
          <w:numId w:val="1"/>
        </w:numPr>
        <w:shd w:val="clear" w:color="auto" w:fill="FFFFFF"/>
        <w:spacing w:before="100" w:beforeAutospacing="1" w:after="100" w:afterAutospacing="1" w:line="240" w:lineRule="auto"/>
        <w:ind w:left="450"/>
        <w:rPr>
          <w:rFonts w:ascii="Verdana" w:eastAsia="Times New Roman" w:hAnsi="Verdana" w:cs="Times New Roman"/>
          <w:color w:val="000000"/>
          <w:sz w:val="17"/>
          <w:szCs w:val="17"/>
        </w:rPr>
      </w:pPr>
      <w:r w:rsidRPr="0083600D">
        <w:rPr>
          <w:rFonts w:ascii="Verdana" w:eastAsia="Times New Roman" w:hAnsi="Verdana" w:cs="Times New Roman"/>
          <w:color w:val="000000"/>
          <w:sz w:val="17"/>
          <w:szCs w:val="17"/>
        </w:rPr>
        <w:t>show as many calculations as possible</w:t>
      </w:r>
    </w:p>
    <w:tbl>
      <w:tblPr>
        <w:tblW w:w="7410" w:type="dxa"/>
        <w:tblCellSpacing w:w="0" w:type="dxa"/>
        <w:tblInd w:w="72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400"/>
        <w:gridCol w:w="1110"/>
        <w:gridCol w:w="300"/>
        <w:gridCol w:w="3705"/>
      </w:tblGrid>
      <w:tr w:rsidR="0083600D" w:rsidRPr="0083600D" w:rsidTr="0083600D">
        <w:trPr>
          <w:tblCellSpacing w:w="0" w:type="dxa"/>
        </w:trPr>
        <w:tc>
          <w:tcPr>
            <w:tcW w:w="7410" w:type="dxa"/>
            <w:gridSpan w:val="4"/>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u w:val="single"/>
              </w:rPr>
              <w:t>Standard Format Income Statement</w:t>
            </w:r>
          </w:p>
        </w:tc>
      </w:tr>
      <w:tr w:rsidR="0083600D" w:rsidRPr="0083600D" w:rsidTr="0083600D">
        <w:trPr>
          <w:tblCellSpacing w:w="0" w:type="dxa"/>
        </w:trPr>
        <w:tc>
          <w:tcPr>
            <w:tcW w:w="3735" w:type="dxa"/>
            <w:gridSpan w:val="3"/>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b/>
                <w:bCs/>
                <w:color w:val="000000"/>
                <w:sz w:val="16"/>
                <w:szCs w:val="16"/>
              </w:rPr>
              <w:t>Comment</w:t>
            </w:r>
          </w:p>
        </w:tc>
      </w:tr>
      <w:tr w:rsidR="0083600D" w:rsidRPr="0083600D" w:rsidTr="0083600D">
        <w:trPr>
          <w:tblCellSpacing w:w="0" w:type="dxa"/>
        </w:trPr>
        <w:tc>
          <w:tcPr>
            <w:tcW w:w="23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Sales</w:t>
            </w:r>
          </w:p>
        </w:tc>
        <w:tc>
          <w:tcPr>
            <w:tcW w:w="108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100,000</w:t>
            </w:r>
          </w:p>
        </w:tc>
        <w:tc>
          <w:tcPr>
            <w:tcW w:w="2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r>
      <w:tr w:rsidR="0083600D" w:rsidRPr="0083600D" w:rsidTr="0083600D">
        <w:trPr>
          <w:tblCellSpacing w:w="0" w:type="dxa"/>
        </w:trPr>
        <w:tc>
          <w:tcPr>
            <w:tcW w:w="23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(COGS)</w:t>
            </w:r>
          </w:p>
        </w:tc>
        <w:tc>
          <w:tcPr>
            <w:tcW w:w="108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-70,000</w:t>
            </w:r>
          </w:p>
        </w:tc>
        <w:tc>
          <w:tcPr>
            <w:tcW w:w="2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30% of these costs are fixed</w:t>
            </w:r>
          </w:p>
        </w:tc>
      </w:tr>
      <w:tr w:rsidR="0083600D" w:rsidRPr="0083600D" w:rsidTr="0083600D">
        <w:trPr>
          <w:tblCellSpacing w:w="0" w:type="dxa"/>
        </w:trPr>
        <w:tc>
          <w:tcPr>
            <w:tcW w:w="23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Gross Profit</w:t>
            </w:r>
          </w:p>
        </w:tc>
        <w:tc>
          <w:tcPr>
            <w:tcW w:w="108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30,000</w:t>
            </w:r>
          </w:p>
        </w:tc>
        <w:tc>
          <w:tcPr>
            <w:tcW w:w="2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r>
      <w:tr w:rsidR="0083600D" w:rsidRPr="0083600D" w:rsidTr="0083600D">
        <w:trPr>
          <w:tblCellSpacing w:w="0" w:type="dxa"/>
        </w:trPr>
        <w:tc>
          <w:tcPr>
            <w:tcW w:w="7410" w:type="dxa"/>
            <w:gridSpan w:val="4"/>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r>
      <w:tr w:rsidR="0083600D" w:rsidRPr="0083600D" w:rsidTr="0083600D">
        <w:trPr>
          <w:tblCellSpacing w:w="0" w:type="dxa"/>
        </w:trPr>
        <w:tc>
          <w:tcPr>
            <w:tcW w:w="23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(S,G,A)</w:t>
            </w:r>
          </w:p>
        </w:tc>
        <w:tc>
          <w:tcPr>
            <w:tcW w:w="108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-20,000</w:t>
            </w:r>
          </w:p>
        </w:tc>
        <w:tc>
          <w:tcPr>
            <w:tcW w:w="2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80% of these costs are fixed</w:t>
            </w:r>
          </w:p>
        </w:tc>
      </w:tr>
      <w:tr w:rsidR="0083600D" w:rsidRPr="0083600D" w:rsidTr="0083600D">
        <w:trPr>
          <w:tblCellSpacing w:w="0" w:type="dxa"/>
        </w:trPr>
        <w:tc>
          <w:tcPr>
            <w:tcW w:w="7410" w:type="dxa"/>
            <w:gridSpan w:val="4"/>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r>
      <w:tr w:rsidR="0083600D" w:rsidRPr="0083600D" w:rsidTr="0083600D">
        <w:trPr>
          <w:tblCellSpacing w:w="0" w:type="dxa"/>
        </w:trPr>
        <w:tc>
          <w:tcPr>
            <w:tcW w:w="23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Net Income</w:t>
            </w:r>
          </w:p>
        </w:tc>
        <w:tc>
          <w:tcPr>
            <w:tcW w:w="108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jc w:val="right"/>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10,000</w:t>
            </w:r>
          </w:p>
        </w:tc>
        <w:tc>
          <w:tcPr>
            <w:tcW w:w="27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83600D" w:rsidRPr="0083600D" w:rsidRDefault="0083600D" w:rsidP="0083600D">
            <w:pPr>
              <w:spacing w:before="100" w:beforeAutospacing="1" w:after="100" w:afterAutospacing="1" w:line="240" w:lineRule="auto"/>
              <w:rPr>
                <w:rFonts w:ascii="Verdana" w:eastAsia="Times New Roman" w:hAnsi="Verdana" w:cs="Times New Roman"/>
                <w:color w:val="000000"/>
                <w:sz w:val="16"/>
                <w:szCs w:val="16"/>
              </w:rPr>
            </w:pPr>
            <w:r w:rsidRPr="0083600D">
              <w:rPr>
                <w:rFonts w:ascii="Verdana" w:eastAsia="Times New Roman" w:hAnsi="Verdana" w:cs="Times New Roman"/>
                <w:color w:val="000000"/>
                <w:sz w:val="16"/>
                <w:szCs w:val="16"/>
              </w:rPr>
              <w:t> </w:t>
            </w:r>
          </w:p>
        </w:tc>
      </w:tr>
    </w:tbl>
    <w:p w:rsidR="00AA3427" w:rsidRDefault="0083600D">
      <w:bookmarkStart w:id="0" w:name="_GoBack"/>
      <w:bookmarkEnd w:id="0"/>
    </w:p>
    <w:sectPr w:rsidR="00AA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14189"/>
    <w:multiLevelType w:val="multilevel"/>
    <w:tmpl w:val="C23C2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0D"/>
    <w:rsid w:val="001310F0"/>
    <w:rsid w:val="0017491E"/>
    <w:rsid w:val="0083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00D"/>
  </w:style>
  <w:style w:type="character" w:styleId="Emphasis">
    <w:name w:val="Emphasis"/>
    <w:basedOn w:val="DefaultParagraphFont"/>
    <w:uiPriority w:val="20"/>
    <w:qFormat/>
    <w:rsid w:val="0083600D"/>
    <w:rPr>
      <w:i/>
      <w:iCs/>
    </w:rPr>
  </w:style>
  <w:style w:type="character" w:styleId="Strong">
    <w:name w:val="Strong"/>
    <w:basedOn w:val="DefaultParagraphFont"/>
    <w:uiPriority w:val="22"/>
    <w:qFormat/>
    <w:rsid w:val="008360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00D"/>
  </w:style>
  <w:style w:type="character" w:styleId="Emphasis">
    <w:name w:val="Emphasis"/>
    <w:basedOn w:val="DefaultParagraphFont"/>
    <w:uiPriority w:val="20"/>
    <w:qFormat/>
    <w:rsid w:val="0083600D"/>
    <w:rPr>
      <w:i/>
      <w:iCs/>
    </w:rPr>
  </w:style>
  <w:style w:type="character" w:styleId="Strong">
    <w:name w:val="Strong"/>
    <w:basedOn w:val="DefaultParagraphFont"/>
    <w:uiPriority w:val="22"/>
    <w:qFormat/>
    <w:rsid w:val="00836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dcterms:created xsi:type="dcterms:W3CDTF">2013-01-26T23:42:00Z</dcterms:created>
  <dcterms:modified xsi:type="dcterms:W3CDTF">2013-01-26T23:55:00Z</dcterms:modified>
</cp:coreProperties>
</file>