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97" w:rsidRPr="00FB5397" w:rsidRDefault="00FB5397" w:rsidP="00FB5397">
      <w:pPr>
        <w:spacing w:before="100" w:beforeAutospacing="1" w:after="100" w:afterAutospacing="1"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xml:space="preserve">P9-28 Prepare statement of cash </w:t>
      </w:r>
      <w:proofErr w:type="gramStart"/>
      <w:r w:rsidRPr="00FB5397">
        <w:rPr>
          <w:rFonts w:ascii="Times New Roman" w:eastAsia="Times New Roman" w:hAnsi="Times New Roman" w:cs="Times New Roman"/>
          <w:sz w:val="24"/>
          <w:szCs w:val="24"/>
        </w:rPr>
        <w:t>flows</w:t>
      </w:r>
      <w:proofErr w:type="gramEnd"/>
      <w:r w:rsidRPr="00FB5397">
        <w:rPr>
          <w:rFonts w:ascii="Times New Roman" w:eastAsia="Times New Roman" w:hAnsi="Times New Roman" w:cs="Times New Roman"/>
          <w:sz w:val="24"/>
          <w:szCs w:val="24"/>
        </w:rPr>
        <w:t xml:space="preserve"> (indirect method) using balance sheet data [LO 10, 11]</w:t>
      </w:r>
    </w:p>
    <w:tbl>
      <w:tblPr>
        <w:tblW w:w="9300" w:type="dxa"/>
        <w:tblCellSpacing w:w="0" w:type="dxa"/>
        <w:tblCellMar>
          <w:left w:w="0" w:type="dxa"/>
          <w:right w:w="0" w:type="dxa"/>
        </w:tblCellMar>
        <w:tblLook w:val="04A0" w:firstRow="1" w:lastRow="0" w:firstColumn="1" w:lastColumn="0" w:noHBand="0" w:noVBand="1"/>
      </w:tblPr>
      <w:tblGrid>
        <w:gridCol w:w="9300"/>
      </w:tblGrid>
      <w:tr w:rsidR="00FB5397" w:rsidRPr="00FB5397" w:rsidTr="00FB5397">
        <w:trPr>
          <w:tblCellSpacing w:w="0" w:type="dxa"/>
        </w:trPr>
        <w:tc>
          <w:tcPr>
            <w:tcW w:w="0" w:type="auto"/>
            <w:vAlign w:val="center"/>
            <w:hideMark/>
          </w:tcPr>
          <w:p w:rsidR="00FB5397" w:rsidRPr="00FB5397" w:rsidRDefault="00FB5397" w:rsidP="00FB5397">
            <w:pPr>
              <w:spacing w:before="100" w:beforeAutospacing="1" w:after="100" w:afterAutospacing="1"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xml:space="preserve">Following are comparative balance sheets for </w:t>
            </w:r>
            <w:proofErr w:type="spellStart"/>
            <w:r w:rsidRPr="00FB5397">
              <w:rPr>
                <w:rFonts w:ascii="Times New Roman" w:eastAsia="Times New Roman" w:hAnsi="Times New Roman" w:cs="Times New Roman"/>
                <w:sz w:val="24"/>
                <w:szCs w:val="24"/>
              </w:rPr>
              <w:t>Millco</w:t>
            </w:r>
            <w:proofErr w:type="spellEnd"/>
            <w:r w:rsidRPr="00FB5397">
              <w:rPr>
                <w:rFonts w:ascii="Times New Roman" w:eastAsia="Times New Roman" w:hAnsi="Times New Roman" w:cs="Times New Roman"/>
                <w:sz w:val="24"/>
                <w:szCs w:val="24"/>
              </w:rPr>
              <w:t>, Inc., at January 31 and February 28, 2011:</w:t>
            </w:r>
          </w:p>
        </w:tc>
      </w:tr>
    </w:tbl>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xml:space="preserve">  </w:t>
      </w:r>
    </w:p>
    <w:tbl>
      <w:tblPr>
        <w:tblW w:w="7800" w:type="dxa"/>
        <w:tblCellSpacing w:w="0" w:type="dxa"/>
        <w:tblCellMar>
          <w:left w:w="0" w:type="dxa"/>
          <w:right w:w="0" w:type="dxa"/>
        </w:tblCellMar>
        <w:tblLook w:val="04A0" w:firstRow="1" w:lastRow="0" w:firstColumn="1" w:lastColumn="0" w:noHBand="0" w:noVBand="1"/>
      </w:tblPr>
      <w:tblGrid>
        <w:gridCol w:w="4920"/>
        <w:gridCol w:w="288"/>
        <w:gridCol w:w="960"/>
        <w:gridCol w:w="192"/>
        <w:gridCol w:w="288"/>
        <w:gridCol w:w="1152"/>
      </w:tblGrid>
      <w:tr w:rsidR="00FB5397" w:rsidRPr="00FB5397" w:rsidTr="00FB5397">
        <w:trPr>
          <w:tblCellSpacing w:w="0" w:type="dxa"/>
        </w:trPr>
        <w:tc>
          <w:tcPr>
            <w:tcW w:w="0" w:type="auto"/>
            <w:gridSpan w:val="6"/>
            <w:shd w:val="clear" w:color="auto" w:fill="D7DCE6"/>
            <w:vAlign w:val="center"/>
            <w:hideMark/>
          </w:tcPr>
          <w:p w:rsidR="00FB5397" w:rsidRPr="00FB5397" w:rsidRDefault="00FB5397" w:rsidP="00FB5397">
            <w:pPr>
              <w:spacing w:after="0" w:line="240" w:lineRule="auto"/>
              <w:jc w:val="center"/>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MILLCO, INC.</w:t>
            </w:r>
            <w:r w:rsidRPr="00FB5397">
              <w:rPr>
                <w:rFonts w:ascii="Times New Roman" w:eastAsia="Times New Roman" w:hAnsi="Times New Roman" w:cs="Times New Roman"/>
                <w:sz w:val="24"/>
                <w:szCs w:val="24"/>
              </w:rPr>
              <w:br/>
              <w:t>Balance Sheets</w:t>
            </w:r>
            <w:r w:rsidRPr="00FB5397">
              <w:rPr>
                <w:rFonts w:ascii="Times New Roman" w:eastAsia="Times New Roman" w:hAnsi="Times New Roman" w:cs="Times New Roman"/>
                <w:sz w:val="24"/>
                <w:szCs w:val="24"/>
              </w:rPr>
              <w:br/>
              <w:t>February 28 and January 31, 2011</w: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Assets</w:t>
            </w:r>
          </w:p>
        </w:tc>
        <w:tc>
          <w:tcPr>
            <w:tcW w:w="700" w:type="pct"/>
            <w:gridSpan w:val="3"/>
            <w:vAlign w:val="center"/>
            <w:hideMark/>
          </w:tcPr>
          <w:p w:rsidR="00FB5397" w:rsidRPr="00FB5397" w:rsidRDefault="00FB5397" w:rsidP="00FB5397">
            <w:pPr>
              <w:spacing w:after="0" w:line="240" w:lineRule="auto"/>
              <w:jc w:val="center"/>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February 28</w:t>
            </w:r>
          </w:p>
        </w:tc>
        <w:tc>
          <w:tcPr>
            <w:tcW w:w="700" w:type="pct"/>
            <w:gridSpan w:val="2"/>
            <w:vAlign w:val="center"/>
            <w:hideMark/>
          </w:tcPr>
          <w:p w:rsidR="00FB5397" w:rsidRPr="00FB5397" w:rsidRDefault="00FB5397" w:rsidP="00FB5397">
            <w:pPr>
              <w:spacing w:after="0" w:line="240" w:lineRule="auto"/>
              <w:jc w:val="center"/>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January 31</w: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Cash</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5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42,000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6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37,000   </w: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Accounts receivable</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64,000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6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53,000   </w: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Merchandise inventory</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81,000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6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94,000   </w: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700" w:type="pct"/>
            <w:gridSpan w:val="3"/>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right" o:hrstd="t" o:hrnoshade="t" o:hr="t" fillcolor="#a0a0a0" stroked="f"/>
              </w:pict>
            </w:r>
          </w:p>
        </w:tc>
        <w:tc>
          <w:tcPr>
            <w:tcW w:w="700" w:type="pct"/>
            <w:gridSpan w:val="2"/>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75pt" o:hralign="right" o:hrstd="t" o:hrnoshade="t" o:hr="t" fillcolor="#a0a0a0" stroked="f"/>
              </w:pic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Total current assets</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5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187,000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6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184,000   </w: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Plant and equipment:</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6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Production equipment</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166,000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6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152,000   </w: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Less: Accumulated depreciation</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(24,000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6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(21,000)  </w: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70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75pt" o:hralign="right" o:hrstd="t" o:hrnoshade="t" o:hr="t" fillcolor="#a0a0a0" stroked="f"/>
              </w:pict>
            </w:r>
          </w:p>
        </w:tc>
        <w:tc>
          <w:tcPr>
            <w:tcW w:w="700" w:type="pct"/>
            <w:gridSpan w:val="2"/>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75pt" o:hralign="right" o:hrstd="t" o:hrnoshade="t" o:hr="t" fillcolor="#a0a0a0" stroked="f"/>
              </w:pic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Total assets</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5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329,000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6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315,000   </w: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70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75pt" o:hralign="right" o:hrstd="t" o:hrnoshade="t" o:hr="t" fillcolor="#a0a0a0" stroked="f"/>
              </w:pict>
            </w:r>
          </w:p>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75pt" o:hralign="right" o:hrstd="t" o:hrnoshade="t" o:hr="t" fillcolor="#a0a0a0" stroked="f"/>
              </w:pict>
            </w:r>
          </w:p>
        </w:tc>
        <w:tc>
          <w:tcPr>
            <w:tcW w:w="700" w:type="pct"/>
            <w:gridSpan w:val="2"/>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75pt" o:hralign="right" o:hrstd="t" o:hrnoshade="t" o:hr="t" fillcolor="#a0a0a0" stroked="f"/>
              </w:pict>
            </w:r>
          </w:p>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75pt" o:hralign="right" o:hrstd="t" o:hrnoshade="t" o:hr="t" fillcolor="#a0a0a0" stroked="f"/>
              </w:pic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Liabilities</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6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Accounts payable</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5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37,000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6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41,000   </w: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Short-term debt</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44,000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6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44,000   </w: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Other accrued liabilities</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21,000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6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24,000   </w: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700" w:type="pct"/>
            <w:gridSpan w:val="3"/>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75pt" o:hralign="right" o:hrstd="t" o:hrnoshade="t" o:hr="t" fillcolor="#a0a0a0" stroked="f"/>
              </w:pict>
            </w:r>
          </w:p>
        </w:tc>
        <w:tc>
          <w:tcPr>
            <w:tcW w:w="700" w:type="pct"/>
            <w:gridSpan w:val="2"/>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75pt" o:hralign="right" o:hrstd="t" o:hrnoshade="t" o:hr="t" fillcolor="#a0a0a0" stroked="f"/>
              </w:pic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Total current liabilities</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5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102,000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6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109,000   </w: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Long-term debt</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33,000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6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46,000   </w: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70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75pt" o:hralign="right" o:hrstd="t" o:hrnoshade="t" o:hr="t" fillcolor="#a0a0a0" stroked="f"/>
              </w:pict>
            </w:r>
          </w:p>
        </w:tc>
        <w:tc>
          <w:tcPr>
            <w:tcW w:w="700" w:type="pct"/>
            <w:gridSpan w:val="2"/>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75pt" o:hralign="right" o:hrstd="t" o:hrnoshade="t" o:hr="t" fillcolor="#a0a0a0" stroked="f"/>
              </w:pic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Total liabilities</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5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135,000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6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155,000   </w: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70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75pt" o:hralign="right" o:hrstd="t" o:hrnoshade="t" o:hr="t" fillcolor="#a0a0a0" stroked="f"/>
              </w:pict>
            </w:r>
          </w:p>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75pt" o:hralign="right" o:hrstd="t" o:hrnoshade="t" o:hr="t" fillcolor="#a0a0a0" stroked="f"/>
              </w:pict>
            </w:r>
          </w:p>
        </w:tc>
        <w:tc>
          <w:tcPr>
            <w:tcW w:w="700" w:type="pct"/>
            <w:gridSpan w:val="2"/>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75pt" o:hralign="right" o:hrstd="t" o:hrnoshade="t" o:hr="t" fillcolor="#a0a0a0" stroked="f"/>
              </w:pict>
            </w:r>
          </w:p>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75pt" o:hralign="right" o:hrstd="t" o:hrnoshade="t" o:hr="t" fillcolor="#a0a0a0" stroked="f"/>
              </w:pic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Owners' Equity</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6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Common stock, no par value, 40,000 shares authorized,   30,000 and 28,000 shares issued, respectively</w:t>
            </w:r>
          </w:p>
        </w:tc>
        <w:tc>
          <w:tcPr>
            <w:tcW w:w="150" w:type="pct"/>
            <w:shd w:val="clear" w:color="auto" w:fill="F7F7F7"/>
            <w:vAlign w:val="bottom"/>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500" w:type="pct"/>
            <w:shd w:val="clear" w:color="auto" w:fill="F7F7F7"/>
            <w:vAlign w:val="bottom"/>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104,000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shd w:val="clear" w:color="auto" w:fill="F7F7F7"/>
            <w:vAlign w:val="bottom"/>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600" w:type="pct"/>
            <w:shd w:val="clear" w:color="auto" w:fill="F7F7F7"/>
            <w:vAlign w:val="bottom"/>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96,000   </w: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Retained earnings:</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6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Beginning balance</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5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64,000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6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43,000   </w: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Net income for month</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36,000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6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29,000   </w: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Dividends</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(10,000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6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(8,000)  </w: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700" w:type="pct"/>
            <w:gridSpan w:val="3"/>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75pt" o:hralign="right" o:hrstd="t" o:hrnoshade="t" o:hr="t" fillcolor="#a0a0a0" stroked="f"/>
              </w:pict>
            </w:r>
          </w:p>
        </w:tc>
        <w:tc>
          <w:tcPr>
            <w:tcW w:w="700" w:type="pct"/>
            <w:gridSpan w:val="2"/>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75pt" o:hralign="right" o:hrstd="t" o:hrnoshade="t" o:hr="t" fillcolor="#a0a0a0" stroked="f"/>
              </w:pic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Ending balance</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5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90,000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6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64,000   </w: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700" w:type="pct"/>
            <w:gridSpan w:val="3"/>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75pt" o:hralign="right" o:hrstd="t" o:hrnoshade="t" o:hr="t" fillcolor="#a0a0a0" stroked="f"/>
              </w:pict>
            </w:r>
          </w:p>
        </w:tc>
        <w:tc>
          <w:tcPr>
            <w:tcW w:w="700" w:type="pct"/>
            <w:gridSpan w:val="2"/>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75pt" o:hralign="right" o:hrstd="t" o:hrnoshade="t" o:hr="t" fillcolor="#a0a0a0" stroked="f"/>
              </w:pic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Total owners' equity</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5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194,000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6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160,000   </w: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700" w:type="pct"/>
            <w:gridSpan w:val="3"/>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75pt" o:hralign="right" o:hrstd="t" o:hrnoshade="t" o:hr="t" fillcolor="#a0a0a0" stroked="f"/>
              </w:pict>
            </w:r>
          </w:p>
        </w:tc>
        <w:tc>
          <w:tcPr>
            <w:tcW w:w="700" w:type="pct"/>
            <w:gridSpan w:val="2"/>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75pt" o:hralign="right" o:hrstd="t" o:hrnoshade="t" o:hr="t" fillcolor="#a0a0a0" stroked="f"/>
              </w:pict>
            </w:r>
          </w:p>
        </w:tc>
      </w:tr>
      <w:tr w:rsidR="00FB5397" w:rsidRPr="00FB5397" w:rsidTr="00FB5397">
        <w:trPr>
          <w:tblCellSpacing w:w="0" w:type="dxa"/>
        </w:trPr>
        <w:tc>
          <w:tcPr>
            <w:tcW w:w="35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Total liabilities and owners' equity</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5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329,000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5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6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315,000   </w:t>
            </w:r>
          </w:p>
        </w:tc>
      </w:tr>
      <w:tr w:rsidR="00FB5397" w:rsidRPr="00FB5397" w:rsidTr="00FB5397">
        <w:trPr>
          <w:tblCellSpacing w:w="0" w:type="dxa"/>
        </w:trPr>
        <w:tc>
          <w:tcPr>
            <w:tcW w:w="35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700" w:type="pct"/>
            <w:gridSpan w:val="3"/>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0;height:.75pt" o:hralign="right" o:hrstd="t" o:hrnoshade="t" o:hr="t" fillcolor="#a0a0a0" stroked="f"/>
              </w:pict>
            </w:r>
          </w:p>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48" style="width:0;height:.75pt" o:hralign="right" o:hrstd="t" o:hrnoshade="t" o:hr="t" fillcolor="#a0a0a0" stroked="f"/>
              </w:pict>
            </w:r>
          </w:p>
        </w:tc>
        <w:tc>
          <w:tcPr>
            <w:tcW w:w="700" w:type="pct"/>
            <w:gridSpan w:val="2"/>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49" style="width:0;height:.75pt" o:hralign="right" o:hrstd="t" o:hrnoshade="t" o:hr="t" fillcolor="#a0a0a0" stroked="f"/>
              </w:pict>
            </w:r>
          </w:p>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50" style="width:0;height:.75pt" o:hralign="right" o:hrstd="t" o:hrnoshade="t" o:hr="t" fillcolor="#a0a0a0" stroked="f"/>
              </w:pict>
            </w:r>
          </w:p>
        </w:tc>
      </w:tr>
      <w:tr w:rsidR="00FB5397" w:rsidRPr="00FB5397" w:rsidTr="00FB5397">
        <w:trPr>
          <w:tblCellSpacing w:w="0" w:type="dxa"/>
        </w:trPr>
        <w:tc>
          <w:tcPr>
            <w:tcW w:w="0" w:type="auto"/>
            <w:gridSpan w:val="6"/>
            <w:vAlign w:val="center"/>
            <w:hideMark/>
          </w:tcPr>
          <w:p w:rsidR="00FB5397" w:rsidRPr="00FB5397" w:rsidRDefault="00BF07B5" w:rsidP="00FB53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51" style="width:468pt;height:3.75pt" o:hrstd="t" o:hrnoshade="t" o:hr="t" fillcolor="#cdd4e0" stroked="f"/>
              </w:pict>
            </w:r>
          </w:p>
        </w:tc>
      </w:tr>
    </w:tbl>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FB5397" w:rsidRPr="00FB5397" w:rsidTr="00FB5397">
        <w:trPr>
          <w:tblCellSpacing w:w="0" w:type="dxa"/>
        </w:trPr>
        <w:tc>
          <w:tcPr>
            <w:tcW w:w="0" w:type="auto"/>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b/>
                <w:bCs/>
                <w:sz w:val="24"/>
                <w:szCs w:val="24"/>
              </w:rPr>
              <w:t>Required:</w:t>
            </w:r>
          </w:p>
        </w:tc>
      </w:tr>
    </w:tbl>
    <w:p w:rsidR="00FB5397" w:rsidRPr="00FB5397" w:rsidRDefault="00FB5397" w:rsidP="00FB5397">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firstRow="1" w:lastRow="0" w:firstColumn="1" w:lastColumn="0" w:noHBand="0" w:noVBand="1"/>
      </w:tblPr>
      <w:tblGrid>
        <w:gridCol w:w="280"/>
        <w:gridCol w:w="9020"/>
      </w:tblGrid>
      <w:tr w:rsidR="00FB5397" w:rsidRPr="00FB5397" w:rsidTr="00FB5397">
        <w:trPr>
          <w:tblCellSpacing w:w="0" w:type="dxa"/>
        </w:trPr>
        <w:tc>
          <w:tcPr>
            <w:tcW w:w="150" w:type="pct"/>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b/>
                <w:bCs/>
                <w:sz w:val="24"/>
                <w:szCs w:val="24"/>
              </w:rPr>
              <w:t>(a)</w:t>
            </w:r>
          </w:p>
        </w:tc>
        <w:tc>
          <w:tcPr>
            <w:tcW w:w="4850" w:type="pct"/>
            <w:vAlign w:val="center"/>
            <w:hideMark/>
          </w:tcPr>
          <w:p w:rsidR="00FB5397" w:rsidRPr="00FB5397" w:rsidRDefault="00FB5397" w:rsidP="00FB5397">
            <w:pPr>
              <w:spacing w:before="100" w:beforeAutospacing="1" w:after="100" w:afterAutospacing="1" w:line="240" w:lineRule="auto"/>
              <w:jc w:val="both"/>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xml:space="preserve">Calculate the change that occurred in cash during the month. You may assume that the change in each balance sheet amount is due to a single event (for example, the change in the amount of production equipment is not the result of both a purchase and sale of equipment). </w:t>
            </w:r>
            <w:r w:rsidRPr="00FB5397">
              <w:rPr>
                <w:rFonts w:ascii="Times New Roman" w:eastAsia="Times New Roman" w:hAnsi="Times New Roman" w:cs="Times New Roman"/>
                <w:i/>
                <w:iCs/>
                <w:sz w:val="24"/>
                <w:szCs w:val="24"/>
              </w:rPr>
              <w:t>(Hints: What is the purpose of the statement of cash flows? How is this purpose accomplished?)</w:t>
            </w:r>
            <w:r w:rsidRPr="00FB5397">
              <w:rPr>
                <w:rFonts w:ascii="Times New Roman" w:eastAsia="Times New Roman" w:hAnsi="Times New Roman" w:cs="Times New Roman"/>
                <w:sz w:val="24"/>
                <w:szCs w:val="24"/>
              </w:rPr>
              <w:t xml:space="preserve"> Because the retained earnings section of the balance sheet is, in and of itself, an analysis of the change in the retained earnings account for the month, the row for net income and dividends should be entered as the February amount and not the change. Use the space to the right of the January 31 data to enter the difference between the February 28 and January 31 amounts of each balance sheet item. </w:t>
            </w:r>
            <w:r w:rsidRPr="00FB5397">
              <w:rPr>
                <w:rFonts w:ascii="Times New Roman" w:eastAsia="Times New Roman" w:hAnsi="Times New Roman" w:cs="Times New Roman"/>
                <w:b/>
                <w:bCs/>
                <w:color w:val="FF0000"/>
                <w:sz w:val="24"/>
                <w:szCs w:val="24"/>
              </w:rPr>
              <w:t xml:space="preserve">(Negative amount should be indicated by a minus sign. Leave no cells blank - be certain to enter "0" wherever </w:t>
            </w:r>
            <w:proofErr w:type="spellStart"/>
            <w:r w:rsidRPr="00FB5397">
              <w:rPr>
                <w:rFonts w:ascii="Times New Roman" w:eastAsia="Times New Roman" w:hAnsi="Times New Roman" w:cs="Times New Roman"/>
                <w:b/>
                <w:bCs/>
                <w:color w:val="FF0000"/>
                <w:sz w:val="24"/>
                <w:szCs w:val="24"/>
              </w:rPr>
              <w:t>required.Omit</w:t>
            </w:r>
            <w:proofErr w:type="spellEnd"/>
            <w:r w:rsidRPr="00FB5397">
              <w:rPr>
                <w:rFonts w:ascii="Times New Roman" w:eastAsia="Times New Roman" w:hAnsi="Times New Roman" w:cs="Times New Roman"/>
                <w:b/>
                <w:bCs/>
                <w:color w:val="FF0000"/>
                <w:sz w:val="24"/>
                <w:szCs w:val="24"/>
              </w:rPr>
              <w:t xml:space="preserve"> the "$" sign in your response.)</w:t>
            </w:r>
          </w:p>
        </w:tc>
      </w:tr>
    </w:tbl>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xml:space="preserve">  </w:t>
      </w:r>
    </w:p>
    <w:tbl>
      <w:tblPr>
        <w:tblW w:w="9000" w:type="dxa"/>
        <w:tblCellSpacing w:w="0" w:type="dxa"/>
        <w:tblInd w:w="300" w:type="dxa"/>
        <w:tblCellMar>
          <w:left w:w="0" w:type="dxa"/>
          <w:right w:w="0" w:type="dxa"/>
        </w:tblCellMar>
        <w:tblLook w:val="04A0" w:firstRow="1" w:lastRow="0" w:firstColumn="1" w:lastColumn="0" w:noHBand="0" w:noVBand="1"/>
      </w:tblPr>
      <w:tblGrid>
        <w:gridCol w:w="5040"/>
        <w:gridCol w:w="240"/>
        <w:gridCol w:w="960"/>
        <w:gridCol w:w="240"/>
        <w:gridCol w:w="240"/>
        <w:gridCol w:w="960"/>
        <w:gridCol w:w="240"/>
        <w:gridCol w:w="1080"/>
      </w:tblGrid>
      <w:tr w:rsidR="00FB5397" w:rsidRPr="00FB5397" w:rsidTr="00FB5397">
        <w:trPr>
          <w:tblCellSpacing w:w="0" w:type="dxa"/>
        </w:trPr>
        <w:tc>
          <w:tcPr>
            <w:tcW w:w="0" w:type="auto"/>
            <w:gridSpan w:val="8"/>
            <w:shd w:val="clear" w:color="auto" w:fill="D7DCE6"/>
            <w:vAlign w:val="center"/>
            <w:hideMark/>
          </w:tcPr>
          <w:p w:rsidR="00FB5397" w:rsidRPr="00FB5397" w:rsidRDefault="00FB5397" w:rsidP="00FB5397">
            <w:pPr>
              <w:spacing w:after="0" w:line="240" w:lineRule="auto"/>
              <w:jc w:val="center"/>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MILLCO, INC.</w:t>
            </w:r>
            <w:r w:rsidRPr="00FB5397">
              <w:rPr>
                <w:rFonts w:ascii="Times New Roman" w:eastAsia="Times New Roman" w:hAnsi="Times New Roman" w:cs="Times New Roman"/>
                <w:sz w:val="24"/>
                <w:szCs w:val="24"/>
              </w:rPr>
              <w:br/>
              <w:t>Balance Sheets</w:t>
            </w:r>
            <w:r w:rsidRPr="00FB5397">
              <w:rPr>
                <w:rFonts w:ascii="Times New Roman" w:eastAsia="Times New Roman" w:hAnsi="Times New Roman" w:cs="Times New Roman"/>
                <w:sz w:val="24"/>
                <w:szCs w:val="24"/>
              </w:rPr>
              <w:br/>
              <w:t>February 28 and January 31, 2011</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Assets</w:t>
            </w:r>
          </w:p>
        </w:tc>
        <w:tc>
          <w:tcPr>
            <w:tcW w:w="600" w:type="pct"/>
            <w:gridSpan w:val="3"/>
            <w:vAlign w:val="center"/>
            <w:hideMark/>
          </w:tcPr>
          <w:p w:rsidR="00FB5397" w:rsidRPr="00FB5397" w:rsidRDefault="00FB5397" w:rsidP="00FB5397">
            <w:pPr>
              <w:spacing w:after="0" w:line="240" w:lineRule="auto"/>
              <w:jc w:val="center"/>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February 28</w:t>
            </w:r>
          </w:p>
        </w:tc>
        <w:tc>
          <w:tcPr>
            <w:tcW w:w="600" w:type="pct"/>
            <w:gridSpan w:val="3"/>
            <w:vAlign w:val="center"/>
            <w:hideMark/>
          </w:tcPr>
          <w:p w:rsidR="00FB5397" w:rsidRPr="00FB5397" w:rsidRDefault="00FB5397" w:rsidP="00FB5397">
            <w:pPr>
              <w:spacing w:after="0" w:line="240" w:lineRule="auto"/>
              <w:jc w:val="center"/>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January 31</w:t>
            </w:r>
          </w:p>
        </w:tc>
        <w:tc>
          <w:tcPr>
            <w:tcW w:w="800" w:type="pct"/>
            <w:vAlign w:val="center"/>
            <w:hideMark/>
          </w:tcPr>
          <w:p w:rsidR="00FB5397" w:rsidRPr="00FB5397" w:rsidRDefault="00FB5397" w:rsidP="00FB5397">
            <w:pPr>
              <w:spacing w:after="0" w:line="240" w:lineRule="auto"/>
              <w:jc w:val="center"/>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Change</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Cash</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42,000</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37,000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8.25pt;height:18pt" o:ole="">
                  <v:imagedata r:id="rId5" o:title=""/>
                </v:shape>
                <w:control r:id="rId6" w:name="DefaultOcxName" w:shapeid="_x0000_i1134"/>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Accounts receivable</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64,000</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53,000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137" type="#_x0000_t75" style="width:38.25pt;height:18pt" o:ole="">
                  <v:imagedata r:id="rId7" o:title=""/>
                </v:shape>
                <w:control r:id="rId8" w:name="DefaultOcxName1" w:shapeid="_x0000_i1137"/>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Merchandise inventory</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81,000</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94,000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140" type="#_x0000_t75" style="width:38.25pt;height:18pt" o:ole="">
                  <v:imagedata r:id="rId9" o:title=""/>
                </v:shape>
                <w:control r:id="rId10" w:name="DefaultOcxName2" w:shapeid="_x0000_i1140"/>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50" w:type="pct"/>
            <w:gridSpan w:val="3"/>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8" style="width:0;height:.75pt" o:hralign="right" o:hrstd="t" o:hrnoshade="t" o:hr="t" fillcolor="#a0a0a0" stroked="f"/>
              </w:pict>
            </w:r>
          </w:p>
        </w:tc>
        <w:tc>
          <w:tcPr>
            <w:tcW w:w="550" w:type="pct"/>
            <w:gridSpan w:val="3"/>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9" style="width:0;height:.75pt" o:hralign="right" o:hrstd="t" o:hrnoshade="t" o:hr="t" fillcolor="#a0a0a0" stroked="f"/>
              </w:pic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Total current assets</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187,000</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184,000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Plant and Equipment:</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Production equipment</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166,000</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152,000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145" type="#_x0000_t75" style="width:38.25pt;height:18pt" o:ole="">
                  <v:imagedata r:id="rId11" o:title=""/>
                </v:shape>
                <w:control r:id="rId12" w:name="DefaultOcxName3" w:shapeid="_x0000_i1145"/>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Less: Accumulated depreciation</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(24,000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(21,000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148" type="#_x0000_t75" style="width:38.25pt;height:18pt" o:ole="">
                  <v:imagedata r:id="rId13" o:title=""/>
                </v:shape>
                <w:control r:id="rId14" w:name="DefaultOcxName4" w:shapeid="_x0000_i1148"/>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4" style="width:0;height:.75pt" o:hralign="right" o:hrstd="t" o:hrnoshade="t" o:hr="t" fillcolor="#a0a0a0" stroked="f"/>
              </w:pic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5" style="width:0;height:.75pt" o:hralign="right" o:hrstd="t" o:hrnoshade="t" o:hr="t" fillcolor="#a0a0a0" stroked="f"/>
              </w:pic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Total assets</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329,000</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315,000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75pt" o:hralign="right" o:hrstd="t" o:hrnoshade="t" o:hr="t" fillcolor="#a0a0a0" stroked="f"/>
              </w:pict>
            </w:r>
          </w:p>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7" style="width:0;height:.75pt" o:hralign="right" o:hrstd="t" o:hrnoshade="t" o:hr="t" fillcolor="#a0a0a0" stroked="f"/>
              </w:pic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8" style="width:0;height:.75pt" o:hralign="right" o:hrstd="t" o:hrnoshade="t" o:hr="t" fillcolor="#a0a0a0" stroked="f"/>
              </w:pict>
            </w:r>
          </w:p>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9" style="width:0;height:.75pt" o:hralign="right" o:hrstd="t" o:hrnoshade="t" o:hr="t" fillcolor="#a0a0a0" stroked="f"/>
              </w:pic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Liabilities:</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Accounts payable</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37,000</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41,000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157" type="#_x0000_t75" style="width:38.25pt;height:18pt" o:ole="">
                  <v:imagedata r:id="rId15" o:title=""/>
                </v:shape>
                <w:control r:id="rId16" w:name="DefaultOcxName5" w:shapeid="_x0000_i1157"/>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Short-term debt</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44,000</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44,000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160" type="#_x0000_t75" style="width:38.25pt;height:18pt" o:ole="">
                  <v:imagedata r:id="rId17" o:title=""/>
                </v:shape>
                <w:control r:id="rId18" w:name="DefaultOcxName6" w:shapeid="_x0000_i1160"/>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Other accrued liabilities</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21,000</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24,000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163" type="#_x0000_t75" style="width:38.25pt;height:18pt" o:ole="">
                  <v:imagedata r:id="rId19" o:title=""/>
                </v:shape>
                <w:control r:id="rId20" w:name="DefaultOcxName7" w:shapeid="_x0000_i1163"/>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50" w:type="pct"/>
            <w:gridSpan w:val="3"/>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6" style="width:0;height:.75pt" o:hralign="right" o:hrstd="t" o:hrnoshade="t" o:hr="t" fillcolor="#a0a0a0" stroked="f"/>
              </w:pict>
            </w:r>
          </w:p>
        </w:tc>
        <w:tc>
          <w:tcPr>
            <w:tcW w:w="550" w:type="pct"/>
            <w:gridSpan w:val="3"/>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7" style="width:0;height:.75pt" o:hralign="right" o:hrstd="t" o:hrnoshade="t" o:hr="t" fillcolor="#a0a0a0" stroked="f"/>
              </w:pic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Total current liabilities</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102,000</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109,000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Long-term debt</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33,000</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46,000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168" type="#_x0000_t75" style="width:38.25pt;height:18pt" o:ole="">
                  <v:imagedata r:id="rId21" o:title=""/>
                </v:shape>
                <w:control r:id="rId22" w:name="DefaultOcxName8" w:shapeid="_x0000_i1168"/>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0" style="width:0;height:.75pt" o:hralign="right" o:hrstd="t" o:hrnoshade="t" o:hr="t" fillcolor="#a0a0a0" stroked="f"/>
              </w:pic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1" style="width:0;height:.75pt" o:hralign="right" o:hrstd="t" o:hrnoshade="t" o:hr="t" fillcolor="#a0a0a0" stroked="f"/>
              </w:pic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Total liabilities</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135,000</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155,000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2" style="width:0;height:.75pt" o:hralign="right" o:hrstd="t" o:hrnoshade="t" o:hr="t" fillcolor="#a0a0a0" stroked="f"/>
              </w:pic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3" style="width:0;height:.75pt" o:hralign="right" o:hrstd="t" o:hrnoshade="t" o:hr="t" fillcolor="#a0a0a0" stroked="f"/>
              </w:pic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lastRenderedPageBreak/>
              <w:t>  Owners' Equity</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Common stock, no par value, 40,000 shares authorized,</w:t>
            </w:r>
            <w:r w:rsidRPr="00FB5397">
              <w:rPr>
                <w:rFonts w:ascii="Times New Roman" w:eastAsia="Times New Roman" w:hAnsi="Times New Roman" w:cs="Times New Roman"/>
                <w:sz w:val="24"/>
                <w:szCs w:val="24"/>
              </w:rPr>
              <w:br/>
              <w:t>   30,000 and 28,000 shares issued, respectively</w:t>
            </w:r>
          </w:p>
        </w:tc>
        <w:tc>
          <w:tcPr>
            <w:tcW w:w="100" w:type="pct"/>
            <w:shd w:val="clear" w:color="auto" w:fill="F7F7F7"/>
            <w:vAlign w:val="bottom"/>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shd w:val="clear" w:color="auto" w:fill="F7F7F7"/>
            <w:vAlign w:val="bottom"/>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104,000</w:t>
            </w:r>
          </w:p>
        </w:tc>
        <w:tc>
          <w:tcPr>
            <w:tcW w:w="100" w:type="pct"/>
            <w:shd w:val="clear" w:color="auto" w:fill="F7F7F7"/>
            <w:vAlign w:val="bottom"/>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shd w:val="clear" w:color="auto" w:fill="F7F7F7"/>
            <w:vAlign w:val="bottom"/>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shd w:val="clear" w:color="auto" w:fill="F7F7F7"/>
            <w:vAlign w:val="bottom"/>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96,000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shd w:val="clear" w:color="auto" w:fill="F7F7F7"/>
            <w:vAlign w:val="bottom"/>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175" type="#_x0000_t75" style="width:38.25pt;height:18pt" o:ole="">
                  <v:imagedata r:id="rId23" o:title=""/>
                </v:shape>
                <w:control r:id="rId24" w:name="DefaultOcxName9" w:shapeid="_x0000_i1175"/>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50" w:type="pct"/>
            <w:gridSpan w:val="3"/>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6" style="width:0;height:.75pt" o:hralign="right" o:hrstd="t" o:hrnoshade="t" o:hr="t" fillcolor="#a0a0a0" stroked="f"/>
              </w:pict>
            </w:r>
          </w:p>
        </w:tc>
        <w:tc>
          <w:tcPr>
            <w:tcW w:w="550" w:type="pct"/>
            <w:gridSpan w:val="3"/>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7" style="width:0;height:.75pt" o:hralign="right" o:hrstd="t" o:hrnoshade="t" o:hr="t" fillcolor="#a0a0a0" stroked="f"/>
              </w:pic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Retained earnings:</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Beginning balance</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64,000</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43,000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Net income for month</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36,000</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29,000</w:t>
            </w:r>
          </w:p>
        </w:tc>
        <w:tc>
          <w:tcPr>
            <w:tcW w:w="1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180" type="#_x0000_t75" style="width:38.25pt;height:18pt" o:ole="">
                  <v:imagedata r:id="rId25" o:title=""/>
                </v:shape>
                <w:control r:id="rId26" w:name="DefaultOcxName10" w:shapeid="_x0000_i1180"/>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Dividends</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(10,000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(8,000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183" type="#_x0000_t75" style="width:38.25pt;height:18pt" o:ole="">
                  <v:imagedata r:id="rId27" o:title=""/>
                </v:shape>
                <w:control r:id="rId28" w:name="DefaultOcxName11" w:shapeid="_x0000_i1183"/>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2" style="width:0;height:.75pt" o:hralign="right" o:hrstd="t" o:hrnoshade="t" o:hr="t" fillcolor="#a0a0a0" stroked="f"/>
              </w:pic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3" style="width:0;height:.75pt" o:hralign="right" o:hrstd="t" o:hrnoshade="t" o:hr="t" fillcolor="#a0a0a0" stroked="f"/>
              </w:pic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Ending balance</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90,000</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64,000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4" style="width:0;height:.75pt" o:hralign="right" o:hrstd="t" o:hrnoshade="t" o:hr="t" fillcolor="#a0a0a0" stroked="f"/>
              </w:pic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5" style="width:0;height:.75pt" o:hralign="right" o:hrstd="t" o:hrnoshade="t" o:hr="t" fillcolor="#a0a0a0" stroked="f"/>
              </w:pic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Total owners' equity</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194,000</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160,000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6" style="width:0;height:.75pt" o:hralign="right" o:hrstd="t" o:hrnoshade="t" o:hr="t" fillcolor="#a0a0a0" stroked="f"/>
              </w:pic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7" style="width:0;height:.75pt" o:hralign="right" o:hrstd="t" o:hrnoshade="t" o:hr="t" fillcolor="#a0a0a0" stroked="f"/>
              </w:pic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Total liabilities and owners' equity</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329,000</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w:t>
            </w:r>
          </w:p>
        </w:tc>
        <w:tc>
          <w:tcPr>
            <w:tcW w:w="4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315,000</w:t>
            </w:r>
          </w:p>
        </w:tc>
        <w:tc>
          <w:tcPr>
            <w:tcW w:w="1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8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8" style="width:0;height:.75pt" o:hralign="right" o:hrstd="t" o:hrnoshade="t" o:hr="t" fillcolor="#a0a0a0" stroked="f"/>
              </w:pict>
            </w:r>
          </w:p>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9" style="width:0;height:.75pt" o:hralign="right" o:hrstd="t" o:hrnoshade="t" o:hr="t" fillcolor="#a0a0a0" stroked="f"/>
              </w:pict>
            </w:r>
          </w:p>
        </w:tc>
        <w:tc>
          <w:tcPr>
            <w:tcW w:w="550" w:type="pct"/>
            <w:gridSpan w:val="3"/>
            <w:shd w:val="clear" w:color="auto" w:fill="F7F7F7"/>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0" style="width:0;height:.75pt" o:hralign="right" o:hrstd="t" o:hrnoshade="t" o:hr="t" fillcolor="#a0a0a0" stroked="f"/>
              </w:pict>
            </w:r>
          </w:p>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1" style="width:0;height:.75pt" o:hralign="right" o:hrstd="t" o:hrnoshade="t" o:hr="t" fillcolor="#a0a0a0" stroked="f"/>
              </w:pict>
            </w:r>
          </w:p>
        </w:tc>
        <w:tc>
          <w:tcPr>
            <w:tcW w:w="8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0" w:type="auto"/>
            <w:gridSpan w:val="8"/>
            <w:vAlign w:val="center"/>
            <w:hideMark/>
          </w:tcPr>
          <w:p w:rsidR="00FB5397" w:rsidRPr="00FB5397" w:rsidRDefault="00BF07B5" w:rsidP="00FB53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2" style="width:468pt;height:3.75pt" o:hrstd="t" o:hrnoshade="t" o:hr="t" fillcolor="#cdd4e0" stroked="f"/>
              </w:pict>
            </w:r>
          </w:p>
        </w:tc>
      </w:tr>
    </w:tbl>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xml:space="preserve">  </w:t>
      </w:r>
    </w:p>
    <w:tbl>
      <w:tblPr>
        <w:tblW w:w="9300" w:type="dxa"/>
        <w:tblCellSpacing w:w="0" w:type="dxa"/>
        <w:tblCellMar>
          <w:left w:w="0" w:type="dxa"/>
          <w:right w:w="0" w:type="dxa"/>
        </w:tblCellMar>
        <w:tblLook w:val="04A0" w:firstRow="1" w:lastRow="0" w:firstColumn="1" w:lastColumn="0" w:noHBand="0" w:noVBand="1"/>
      </w:tblPr>
      <w:tblGrid>
        <w:gridCol w:w="294"/>
        <w:gridCol w:w="9006"/>
      </w:tblGrid>
      <w:tr w:rsidR="00FB5397" w:rsidRPr="00FB5397" w:rsidTr="00FB5397">
        <w:trPr>
          <w:tblCellSpacing w:w="0" w:type="dxa"/>
        </w:trPr>
        <w:tc>
          <w:tcPr>
            <w:tcW w:w="150" w:type="pct"/>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b/>
                <w:bCs/>
                <w:sz w:val="24"/>
                <w:szCs w:val="24"/>
              </w:rPr>
              <w:t>(b)</w:t>
            </w:r>
          </w:p>
        </w:tc>
        <w:tc>
          <w:tcPr>
            <w:tcW w:w="4850" w:type="pct"/>
            <w:vAlign w:val="center"/>
            <w:hideMark/>
          </w:tcPr>
          <w:p w:rsidR="00FB5397" w:rsidRPr="00FB5397" w:rsidRDefault="00FB5397" w:rsidP="00FB5397">
            <w:pPr>
              <w:spacing w:before="100" w:beforeAutospacing="1" w:after="100" w:afterAutospacing="1" w:line="240" w:lineRule="auto"/>
              <w:jc w:val="both"/>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xml:space="preserve">Prepare a statement of cash flows that explains above changes? </w:t>
            </w:r>
            <w:r w:rsidRPr="00FB5397">
              <w:rPr>
                <w:rFonts w:ascii="Times New Roman" w:eastAsia="Times New Roman" w:hAnsi="Times New Roman" w:cs="Times New Roman"/>
                <w:b/>
                <w:bCs/>
                <w:color w:val="FF0000"/>
                <w:sz w:val="24"/>
                <w:szCs w:val="24"/>
              </w:rPr>
              <w:t xml:space="preserve">(Negative amount should be indicated by a minus </w:t>
            </w:r>
            <w:proofErr w:type="spellStart"/>
            <w:r w:rsidRPr="00FB5397">
              <w:rPr>
                <w:rFonts w:ascii="Times New Roman" w:eastAsia="Times New Roman" w:hAnsi="Times New Roman" w:cs="Times New Roman"/>
                <w:b/>
                <w:bCs/>
                <w:color w:val="FF0000"/>
                <w:sz w:val="24"/>
                <w:szCs w:val="24"/>
              </w:rPr>
              <w:t>sign.Omit</w:t>
            </w:r>
            <w:proofErr w:type="spellEnd"/>
            <w:r w:rsidRPr="00FB5397">
              <w:rPr>
                <w:rFonts w:ascii="Times New Roman" w:eastAsia="Times New Roman" w:hAnsi="Times New Roman" w:cs="Times New Roman"/>
                <w:b/>
                <w:bCs/>
                <w:color w:val="FF0000"/>
                <w:sz w:val="24"/>
                <w:szCs w:val="24"/>
              </w:rPr>
              <w:t xml:space="preserve"> the "$" sign in your response.)</w:t>
            </w:r>
          </w:p>
        </w:tc>
      </w:tr>
    </w:tbl>
    <w:p w:rsidR="00FB5397" w:rsidRPr="00FB5397" w:rsidRDefault="00FB5397" w:rsidP="00FB5397">
      <w:pPr>
        <w:spacing w:after="0" w:line="240" w:lineRule="auto"/>
        <w:rPr>
          <w:rFonts w:ascii="Times New Roman" w:eastAsia="Times New Roman" w:hAnsi="Times New Roman" w:cs="Times New Roman"/>
          <w:sz w:val="24"/>
          <w:szCs w:val="24"/>
        </w:rPr>
      </w:pPr>
    </w:p>
    <w:tbl>
      <w:tblPr>
        <w:tblW w:w="9000" w:type="dxa"/>
        <w:tblCellSpacing w:w="0" w:type="dxa"/>
        <w:tblInd w:w="300" w:type="dxa"/>
        <w:tblCellMar>
          <w:left w:w="0" w:type="dxa"/>
          <w:right w:w="0" w:type="dxa"/>
        </w:tblCellMar>
        <w:tblLook w:val="04A0" w:firstRow="1" w:lastRow="0" w:firstColumn="1" w:lastColumn="0" w:noHBand="0" w:noVBand="1"/>
      </w:tblPr>
      <w:tblGrid>
        <w:gridCol w:w="5400"/>
        <w:gridCol w:w="1800"/>
        <w:gridCol w:w="1800"/>
      </w:tblGrid>
      <w:tr w:rsidR="00FB5397" w:rsidRPr="00FB5397" w:rsidTr="00FB5397">
        <w:trPr>
          <w:tblCellSpacing w:w="0" w:type="dxa"/>
        </w:trPr>
        <w:tc>
          <w:tcPr>
            <w:tcW w:w="0" w:type="auto"/>
            <w:gridSpan w:val="3"/>
            <w:shd w:val="clear" w:color="auto" w:fill="D7DCE6"/>
            <w:vAlign w:val="center"/>
            <w:hideMark/>
          </w:tcPr>
          <w:p w:rsidR="00FB5397" w:rsidRPr="00FB5397" w:rsidRDefault="00FB5397" w:rsidP="00FB5397">
            <w:pPr>
              <w:spacing w:after="0" w:line="240" w:lineRule="auto"/>
              <w:jc w:val="center"/>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MILLCO, INC.</w:t>
            </w:r>
            <w:r w:rsidRPr="00FB5397">
              <w:rPr>
                <w:rFonts w:ascii="Times New Roman" w:eastAsia="Times New Roman" w:hAnsi="Times New Roman" w:cs="Times New Roman"/>
                <w:sz w:val="24"/>
                <w:szCs w:val="24"/>
              </w:rPr>
              <w:br/>
              <w:t>Statement of Cash Flows</w:t>
            </w:r>
            <w:r w:rsidRPr="00FB5397">
              <w:rPr>
                <w:rFonts w:ascii="Times New Roman" w:eastAsia="Times New Roman" w:hAnsi="Times New Roman" w:cs="Times New Roman"/>
                <w:sz w:val="24"/>
                <w:szCs w:val="24"/>
              </w:rPr>
              <w:br/>
              <w:t>For the Month Ended February 28, 2011</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Cash flows from operating activities:</w: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Net income</w: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xml:space="preserve">$ </w:t>
            </w:r>
            <w:r w:rsidRPr="00FB5397">
              <w:rPr>
                <w:rFonts w:ascii="Times New Roman" w:eastAsia="Times New Roman" w:hAnsi="Times New Roman" w:cs="Times New Roman"/>
                <w:sz w:val="24"/>
                <w:szCs w:val="24"/>
              </w:rPr>
              <w:object w:dxaOrig="4320" w:dyaOrig="4320">
                <v:shape id="_x0000_i1197" type="#_x0000_t75" style="width:38.25pt;height:18pt" o:ole="">
                  <v:imagedata r:id="rId29" o:title=""/>
                </v:shape>
                <w:control r:id="rId30" w:name="DefaultOcxName12" w:shapeid="_x0000_i1197"/>
              </w:objec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Add (deduct) items not affecting cash:</w: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BF07B5" w:rsidRDefault="00FB5397" w:rsidP="00BF07B5">
            <w:pPr>
              <w:spacing w:after="0" w:line="240" w:lineRule="auto"/>
              <w:rPr>
                <w:rFonts w:ascii="Times New Roman" w:eastAsia="Times New Roman" w:hAnsi="Times New Roman" w:cs="Times New Roman"/>
                <w:b/>
                <w:sz w:val="24"/>
                <w:szCs w:val="24"/>
              </w:rPr>
            </w:pP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200" type="#_x0000_t75" style="width:38.25pt;height:18pt" o:ole="">
                  <v:imagedata r:id="rId29" o:title=""/>
                </v:shape>
                <w:control r:id="rId31" w:name="DefaultOcxName13" w:shapeid="_x0000_i1200"/>
              </w:objec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BF07B5" w:rsidRDefault="00BF07B5" w:rsidP="00FB5397">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w: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203" type="#_x0000_t75" style="width:38.25pt;height:18pt" o:ole="">
                  <v:imagedata r:id="rId29" o:title=""/>
                </v:shape>
                <w:control r:id="rId32" w:name="DefaultOcxName14" w:shapeid="_x0000_i1203"/>
              </w:objec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206" type="#_x0000_t75" style="width:38.25pt;height:18pt" o:ole="">
                  <v:imagedata r:id="rId29" o:title=""/>
                </v:shape>
                <w:control r:id="rId33" w:name="DefaultOcxName15" w:shapeid="_x0000_i1206"/>
              </w:objec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209" type="#_x0000_t75" style="width:38.25pt;height:18pt" o:ole="">
                  <v:imagedata r:id="rId29" o:title=""/>
                </v:shape>
                <w:control r:id="rId34" w:name="DefaultOcxName16" w:shapeid="_x0000_i1209"/>
              </w:objec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212" type="#_x0000_t75" style="width:38.25pt;height:18pt" o:ole="">
                  <v:imagedata r:id="rId29" o:title=""/>
                </v:shape>
                <w:control r:id="rId35" w:name="DefaultOcxName17" w:shapeid="_x0000_i1212"/>
              </w:objec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5" style="width:0;height:.75pt" o:hralign="right" o:hrstd="t" o:hrnoshade="t" o:hr="t" fillcolor="#a0a0a0" stroked="f"/>
              </w:pic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Net cash by operating activities</w: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xml:space="preserve">$ </w:t>
            </w:r>
            <w:r w:rsidRPr="00FB5397">
              <w:rPr>
                <w:rFonts w:ascii="Times New Roman" w:eastAsia="Times New Roman" w:hAnsi="Times New Roman" w:cs="Times New Roman"/>
                <w:sz w:val="24"/>
                <w:szCs w:val="24"/>
              </w:rPr>
              <w:object w:dxaOrig="4320" w:dyaOrig="4320">
                <v:shape id="_x0000_i1216" type="#_x0000_t75" style="width:38.25pt;height:18pt" o:ole="">
                  <v:imagedata r:id="rId29" o:title=""/>
                </v:shape>
                <w:control r:id="rId36" w:name="DefaultOcxName18" w:shapeid="_x0000_i1216"/>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Cash flows from investing activities:</w: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Purchases of production equipment</w: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219" type="#_x0000_t75" style="width:38.25pt;height:18pt" o:ole="">
                  <v:imagedata r:id="rId29" o:title=""/>
                </v:shape>
                <w:control r:id="rId37" w:name="DefaultOcxName19" w:shapeid="_x0000_i1219"/>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Cash flows from financing activities:</w: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xml:space="preserve">$ </w:t>
            </w:r>
            <w:r w:rsidRPr="00FB5397">
              <w:rPr>
                <w:rFonts w:ascii="Times New Roman" w:eastAsia="Times New Roman" w:hAnsi="Times New Roman" w:cs="Times New Roman"/>
                <w:sz w:val="24"/>
                <w:szCs w:val="24"/>
              </w:rPr>
              <w:object w:dxaOrig="4320" w:dyaOrig="4320">
                <v:shape id="_x0000_i1222" type="#_x0000_t75" style="width:38.25pt;height:18pt" o:ole="">
                  <v:imagedata r:id="rId29" o:title=""/>
                </v:shape>
                <w:control r:id="rId38" w:name="DefaultOcxName20" w:shapeid="_x0000_i1222"/>
              </w:objec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225" type="#_x0000_t75" style="width:38.25pt;height:18pt" o:ole="">
                  <v:imagedata r:id="rId29" o:title=""/>
                </v:shape>
                <w:control r:id="rId39" w:name="DefaultOcxName21" w:shapeid="_x0000_i1225"/>
              </w:objec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228" type="#_x0000_t75" style="width:38.25pt;height:18pt" o:ole="">
                  <v:imagedata r:id="rId29" o:title=""/>
                </v:shape>
                <w:control r:id="rId40" w:name="DefaultOcxName22" w:shapeid="_x0000_i1228"/>
              </w:objec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6" style="width:0;height:.75pt" o:hralign="right" o:hrstd="t" o:hrnoshade="t" o:hr="t" fillcolor="#a0a0a0" stroked="f"/>
              </w:pic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lastRenderedPageBreak/>
              <w:t>  Net cash flows by financing activities</w: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object w:dxaOrig="4320" w:dyaOrig="4320">
                <v:shape id="_x0000_i1232" type="#_x0000_t75" style="width:38.25pt;height:18pt" o:ole="">
                  <v:imagedata r:id="rId29" o:title=""/>
                </v:shape>
                <w:control r:id="rId41" w:name="DefaultOcxName23" w:shapeid="_x0000_i1232"/>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vAlign w:val="center"/>
            <w:hideMark/>
          </w:tcPr>
          <w:p w:rsidR="00FB5397" w:rsidRPr="00FB5397" w:rsidRDefault="00BF07B5" w:rsidP="00FB53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9" style="width:0;height:.75pt" o:hralign="right" o:hrstd="t" o:hrnoshade="t" o:hr="t" fillcolor="#a0a0a0" stroked="f"/>
              </w:pict>
            </w:r>
          </w:p>
        </w:tc>
      </w:tr>
      <w:tr w:rsidR="00FB5397" w:rsidRPr="00FB5397" w:rsidTr="00FB5397">
        <w:trPr>
          <w:tblCellSpacing w:w="0" w:type="dxa"/>
        </w:trPr>
        <w:tc>
          <w:tcPr>
            <w:tcW w:w="3000" w:type="pct"/>
            <w:shd w:val="clear" w:color="auto" w:fill="F7F7F7"/>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Net in cash for the year</w: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shd w:val="clear" w:color="auto" w:fill="F7F7F7"/>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xml:space="preserve">$ </w:t>
            </w:r>
            <w:r w:rsidRPr="00FB5397">
              <w:rPr>
                <w:rFonts w:ascii="Times New Roman" w:eastAsia="Times New Roman" w:hAnsi="Times New Roman" w:cs="Times New Roman"/>
                <w:sz w:val="24"/>
                <w:szCs w:val="24"/>
              </w:rPr>
              <w:object w:dxaOrig="4320" w:dyaOrig="4320">
                <v:shape id="_x0000_i1236" type="#_x0000_t75" style="width:38.25pt;height:18pt" o:ole="">
                  <v:imagedata r:id="rId29" o:title=""/>
                </v:shape>
                <w:control r:id="rId42" w:name="DefaultOcxName24" w:shapeid="_x0000_i1236"/>
              </w:object>
            </w:r>
            <w:r w:rsidRPr="00FB5397">
              <w:rPr>
                <w:rFonts w:ascii="Times New Roman" w:eastAsia="Times New Roman" w:hAnsi="Times New Roman" w:cs="Times New Roman"/>
                <w:sz w:val="24"/>
                <w:szCs w:val="24"/>
              </w:rPr>
              <w:t> </w:t>
            </w:r>
          </w:p>
        </w:tc>
      </w:tr>
      <w:tr w:rsidR="00FB5397" w:rsidRPr="00FB5397" w:rsidTr="00FB5397">
        <w:trPr>
          <w:tblCellSpacing w:w="0" w:type="dxa"/>
        </w:trPr>
        <w:tc>
          <w:tcPr>
            <w:tcW w:w="3000" w:type="pct"/>
            <w:vAlign w:val="center"/>
            <w:hideMark/>
          </w:tcPr>
          <w:p w:rsidR="00FB5397" w:rsidRPr="00FB5397" w:rsidRDefault="00FB5397" w:rsidP="00FB5397">
            <w:pPr>
              <w:spacing w:after="0" w:line="240" w:lineRule="auto"/>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r w:rsidRPr="00FB5397">
              <w:rPr>
                <w:rFonts w:ascii="Times New Roman" w:eastAsia="Times New Roman" w:hAnsi="Times New Roman" w:cs="Times New Roman"/>
                <w:sz w:val="24"/>
                <w:szCs w:val="24"/>
              </w:rPr>
              <w:t> </w:t>
            </w:r>
          </w:p>
        </w:tc>
        <w:tc>
          <w:tcPr>
            <w:tcW w:w="1000" w:type="pct"/>
            <w:vAlign w:val="center"/>
            <w:hideMark/>
          </w:tcPr>
          <w:p w:rsidR="00FB5397" w:rsidRPr="00FB5397" w:rsidRDefault="00FB5397" w:rsidP="00FB5397">
            <w:pPr>
              <w:spacing w:after="0" w:line="240" w:lineRule="auto"/>
              <w:jc w:val="right"/>
              <w:rPr>
                <w:rFonts w:ascii="Times New Roman" w:eastAsia="Times New Roman" w:hAnsi="Times New Roman" w:cs="Times New Roman"/>
                <w:sz w:val="24"/>
                <w:szCs w:val="24"/>
              </w:rPr>
            </w:pPr>
          </w:p>
        </w:tc>
      </w:tr>
    </w:tbl>
    <w:p w:rsidR="009E2238" w:rsidRDefault="00BF07B5">
      <w:pPr>
        <w:rPr>
          <w:b/>
          <w:color w:val="FF0000"/>
          <w:sz w:val="28"/>
          <w:szCs w:val="28"/>
        </w:rPr>
      </w:pPr>
      <w:r w:rsidRPr="00BF07B5">
        <w:rPr>
          <w:b/>
          <w:color w:val="FF0000"/>
          <w:sz w:val="28"/>
          <w:szCs w:val="28"/>
        </w:rPr>
        <w:t>NOTE:</w:t>
      </w:r>
      <w:r>
        <w:rPr>
          <w:b/>
          <w:color w:val="FF0000"/>
          <w:sz w:val="28"/>
          <w:szCs w:val="28"/>
        </w:rPr>
        <w:t xml:space="preserve"> under b, add (deduct) items not affecting cash the list is;</w:t>
      </w:r>
    </w:p>
    <w:p w:rsidR="00BF07B5" w:rsidRPr="00BF07B5" w:rsidRDefault="00BF07B5" w:rsidP="00BF07B5">
      <w:pPr>
        <w:spacing w:line="240" w:lineRule="auto"/>
        <w:rPr>
          <w:b/>
          <w:color w:val="FF0000"/>
          <w:sz w:val="20"/>
          <w:szCs w:val="20"/>
        </w:rPr>
      </w:pPr>
      <w:r w:rsidRPr="00BF07B5">
        <w:rPr>
          <w:b/>
          <w:sz w:val="20"/>
          <w:szCs w:val="20"/>
        </w:rPr>
        <w:t>A</w:t>
      </w:r>
      <w:r w:rsidRPr="00BF07B5">
        <w:rPr>
          <w:b/>
          <w:color w:val="FF0000"/>
          <w:sz w:val="20"/>
          <w:szCs w:val="20"/>
        </w:rPr>
        <w:t>.</w:t>
      </w:r>
      <w:r>
        <w:rPr>
          <w:b/>
          <w:color w:val="FF0000"/>
          <w:sz w:val="20"/>
          <w:szCs w:val="20"/>
        </w:rPr>
        <w:t xml:space="preserve"> </w:t>
      </w:r>
      <w:r w:rsidRPr="00BF07B5">
        <w:rPr>
          <w:b/>
          <w:color w:val="FF0000"/>
          <w:sz w:val="20"/>
          <w:szCs w:val="20"/>
        </w:rPr>
        <w:t>Decrease in accounts payable</w:t>
      </w:r>
    </w:p>
    <w:p w:rsidR="00BF07B5" w:rsidRPr="00BF07B5" w:rsidRDefault="00BF07B5" w:rsidP="00BF07B5">
      <w:pPr>
        <w:spacing w:line="240" w:lineRule="auto"/>
        <w:rPr>
          <w:b/>
          <w:color w:val="FF0000"/>
          <w:sz w:val="20"/>
          <w:szCs w:val="20"/>
        </w:rPr>
      </w:pPr>
      <w:r w:rsidRPr="00BF07B5">
        <w:rPr>
          <w:b/>
          <w:color w:val="FF0000"/>
          <w:sz w:val="20"/>
          <w:szCs w:val="20"/>
        </w:rPr>
        <w:t>Note payable</w:t>
      </w:r>
    </w:p>
    <w:p w:rsidR="00BF07B5" w:rsidRPr="00BF07B5" w:rsidRDefault="00BF07B5" w:rsidP="00BF07B5">
      <w:pPr>
        <w:spacing w:line="240" w:lineRule="auto"/>
        <w:rPr>
          <w:b/>
          <w:color w:val="FF0000"/>
          <w:sz w:val="20"/>
          <w:szCs w:val="20"/>
        </w:rPr>
      </w:pPr>
      <w:r w:rsidRPr="00BF07B5">
        <w:rPr>
          <w:b/>
          <w:color w:val="FF0000"/>
          <w:sz w:val="20"/>
          <w:szCs w:val="20"/>
        </w:rPr>
        <w:t>Decrease in other accrued liabilities</w:t>
      </w:r>
    </w:p>
    <w:p w:rsidR="00BF07B5" w:rsidRPr="00BF07B5" w:rsidRDefault="00BF07B5" w:rsidP="00BF07B5">
      <w:pPr>
        <w:spacing w:line="240" w:lineRule="auto"/>
        <w:rPr>
          <w:b/>
          <w:color w:val="FF0000"/>
          <w:sz w:val="20"/>
          <w:szCs w:val="20"/>
        </w:rPr>
      </w:pPr>
      <w:r w:rsidRPr="00BF07B5">
        <w:rPr>
          <w:b/>
          <w:color w:val="FF0000"/>
          <w:sz w:val="20"/>
          <w:szCs w:val="20"/>
        </w:rPr>
        <w:t>Investment</w:t>
      </w:r>
    </w:p>
    <w:p w:rsidR="00BF07B5" w:rsidRPr="00BF07B5" w:rsidRDefault="00BF07B5" w:rsidP="00BF07B5">
      <w:pPr>
        <w:spacing w:line="240" w:lineRule="auto"/>
        <w:rPr>
          <w:b/>
          <w:color w:val="FF0000"/>
          <w:sz w:val="20"/>
          <w:szCs w:val="20"/>
        </w:rPr>
      </w:pPr>
      <w:r w:rsidRPr="00BF07B5">
        <w:rPr>
          <w:b/>
          <w:color w:val="FF0000"/>
          <w:sz w:val="20"/>
          <w:szCs w:val="20"/>
        </w:rPr>
        <w:t>Depreciation expense</w:t>
      </w:r>
    </w:p>
    <w:p w:rsidR="00BF07B5" w:rsidRPr="00BF07B5" w:rsidRDefault="00BF07B5" w:rsidP="00BF07B5">
      <w:pPr>
        <w:spacing w:line="240" w:lineRule="auto"/>
        <w:rPr>
          <w:b/>
          <w:color w:val="FF0000"/>
          <w:sz w:val="20"/>
          <w:szCs w:val="20"/>
        </w:rPr>
      </w:pPr>
      <w:r w:rsidRPr="00BF07B5">
        <w:rPr>
          <w:b/>
          <w:color w:val="FF0000"/>
          <w:sz w:val="20"/>
          <w:szCs w:val="20"/>
        </w:rPr>
        <w:t>Increase in accounts receivable</w:t>
      </w:r>
      <w:bookmarkStart w:id="0" w:name="_GoBack"/>
      <w:bookmarkEnd w:id="0"/>
    </w:p>
    <w:p w:rsidR="00BF07B5" w:rsidRPr="00BF07B5" w:rsidRDefault="00BF07B5" w:rsidP="00BF07B5">
      <w:pPr>
        <w:spacing w:line="240" w:lineRule="auto"/>
        <w:rPr>
          <w:b/>
          <w:color w:val="FF0000"/>
          <w:sz w:val="20"/>
          <w:szCs w:val="20"/>
        </w:rPr>
      </w:pPr>
      <w:r w:rsidRPr="00BF07B5">
        <w:rPr>
          <w:b/>
          <w:color w:val="FF0000"/>
          <w:sz w:val="20"/>
          <w:szCs w:val="20"/>
        </w:rPr>
        <w:t>Utilities expenses</w:t>
      </w:r>
    </w:p>
    <w:p w:rsidR="00BF07B5" w:rsidRPr="00BF07B5" w:rsidRDefault="00BF07B5" w:rsidP="00BF07B5">
      <w:pPr>
        <w:spacing w:line="240" w:lineRule="auto"/>
        <w:rPr>
          <w:b/>
          <w:color w:val="FF0000"/>
          <w:sz w:val="20"/>
          <w:szCs w:val="20"/>
        </w:rPr>
      </w:pPr>
      <w:r w:rsidRPr="00BF07B5">
        <w:rPr>
          <w:b/>
          <w:color w:val="FF0000"/>
          <w:sz w:val="20"/>
          <w:szCs w:val="20"/>
        </w:rPr>
        <w:t>Decrease in merchandise inventory</w:t>
      </w:r>
    </w:p>
    <w:sectPr w:rsidR="00BF07B5" w:rsidRPr="00BF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97"/>
    <w:rsid w:val="0005642D"/>
    <w:rsid w:val="000712CA"/>
    <w:rsid w:val="000838EE"/>
    <w:rsid w:val="00084852"/>
    <w:rsid w:val="00090D7F"/>
    <w:rsid w:val="00090DBB"/>
    <w:rsid w:val="000B0D2A"/>
    <w:rsid w:val="000B54B7"/>
    <w:rsid w:val="000D1224"/>
    <w:rsid w:val="000D7C8E"/>
    <w:rsid w:val="00105664"/>
    <w:rsid w:val="00144EC6"/>
    <w:rsid w:val="0015346B"/>
    <w:rsid w:val="00157190"/>
    <w:rsid w:val="00162129"/>
    <w:rsid w:val="00181087"/>
    <w:rsid w:val="001929C5"/>
    <w:rsid w:val="001B674B"/>
    <w:rsid w:val="001C1DA1"/>
    <w:rsid w:val="001C719D"/>
    <w:rsid w:val="001D0E6A"/>
    <w:rsid w:val="001D5858"/>
    <w:rsid w:val="001E571F"/>
    <w:rsid w:val="001F1BC7"/>
    <w:rsid w:val="001F32E3"/>
    <w:rsid w:val="00201339"/>
    <w:rsid w:val="00201CAC"/>
    <w:rsid w:val="00203D5A"/>
    <w:rsid w:val="00205C92"/>
    <w:rsid w:val="00210E47"/>
    <w:rsid w:val="00213B6B"/>
    <w:rsid w:val="00215F75"/>
    <w:rsid w:val="00217860"/>
    <w:rsid w:val="002312AF"/>
    <w:rsid w:val="00234651"/>
    <w:rsid w:val="00236517"/>
    <w:rsid w:val="0023768D"/>
    <w:rsid w:val="00245DEB"/>
    <w:rsid w:val="002550B5"/>
    <w:rsid w:val="00262E5D"/>
    <w:rsid w:val="00263D7A"/>
    <w:rsid w:val="00264F43"/>
    <w:rsid w:val="00267ADF"/>
    <w:rsid w:val="00270E64"/>
    <w:rsid w:val="00276D08"/>
    <w:rsid w:val="0028673A"/>
    <w:rsid w:val="00297CBC"/>
    <w:rsid w:val="002A58F3"/>
    <w:rsid w:val="002B22DE"/>
    <w:rsid w:val="002B2602"/>
    <w:rsid w:val="002D1C3D"/>
    <w:rsid w:val="002D2BEC"/>
    <w:rsid w:val="002F2662"/>
    <w:rsid w:val="002F6C60"/>
    <w:rsid w:val="00310AF7"/>
    <w:rsid w:val="003162F6"/>
    <w:rsid w:val="003339A7"/>
    <w:rsid w:val="00334B3F"/>
    <w:rsid w:val="00340770"/>
    <w:rsid w:val="00352251"/>
    <w:rsid w:val="00352B04"/>
    <w:rsid w:val="003604FA"/>
    <w:rsid w:val="00360D5C"/>
    <w:rsid w:val="003744E5"/>
    <w:rsid w:val="003811C7"/>
    <w:rsid w:val="00393CBF"/>
    <w:rsid w:val="0039505D"/>
    <w:rsid w:val="003C199B"/>
    <w:rsid w:val="003D1C71"/>
    <w:rsid w:val="003D4F57"/>
    <w:rsid w:val="003F62F9"/>
    <w:rsid w:val="004106BD"/>
    <w:rsid w:val="0041184F"/>
    <w:rsid w:val="00431011"/>
    <w:rsid w:val="00445731"/>
    <w:rsid w:val="004709B9"/>
    <w:rsid w:val="00470E32"/>
    <w:rsid w:val="00472FA4"/>
    <w:rsid w:val="0048477A"/>
    <w:rsid w:val="004A0837"/>
    <w:rsid w:val="004B4629"/>
    <w:rsid w:val="004B4FB2"/>
    <w:rsid w:val="004C1847"/>
    <w:rsid w:val="004C45FE"/>
    <w:rsid w:val="004E0059"/>
    <w:rsid w:val="004E047D"/>
    <w:rsid w:val="004E4E74"/>
    <w:rsid w:val="004F4727"/>
    <w:rsid w:val="004F741C"/>
    <w:rsid w:val="0050695B"/>
    <w:rsid w:val="00541CF1"/>
    <w:rsid w:val="00556ED1"/>
    <w:rsid w:val="005674DD"/>
    <w:rsid w:val="00571CCA"/>
    <w:rsid w:val="00580B7D"/>
    <w:rsid w:val="0059209A"/>
    <w:rsid w:val="00595997"/>
    <w:rsid w:val="00596F4D"/>
    <w:rsid w:val="005C3C6B"/>
    <w:rsid w:val="005C736A"/>
    <w:rsid w:val="005E68D8"/>
    <w:rsid w:val="005F0B2B"/>
    <w:rsid w:val="005F6E38"/>
    <w:rsid w:val="00600CA2"/>
    <w:rsid w:val="006102B5"/>
    <w:rsid w:val="006212D3"/>
    <w:rsid w:val="00633F94"/>
    <w:rsid w:val="00656458"/>
    <w:rsid w:val="00666B02"/>
    <w:rsid w:val="00675264"/>
    <w:rsid w:val="00680494"/>
    <w:rsid w:val="00682B65"/>
    <w:rsid w:val="006838D9"/>
    <w:rsid w:val="00687B76"/>
    <w:rsid w:val="006910DE"/>
    <w:rsid w:val="006A73D6"/>
    <w:rsid w:val="006B2D30"/>
    <w:rsid w:val="006B46C4"/>
    <w:rsid w:val="006B4BB2"/>
    <w:rsid w:val="006C2BB3"/>
    <w:rsid w:val="006C5525"/>
    <w:rsid w:val="006C7B26"/>
    <w:rsid w:val="006D0523"/>
    <w:rsid w:val="006E11B9"/>
    <w:rsid w:val="006F68E3"/>
    <w:rsid w:val="00703E8A"/>
    <w:rsid w:val="0071567E"/>
    <w:rsid w:val="00723727"/>
    <w:rsid w:val="007270E0"/>
    <w:rsid w:val="00732831"/>
    <w:rsid w:val="007419B9"/>
    <w:rsid w:val="0074599A"/>
    <w:rsid w:val="00784F20"/>
    <w:rsid w:val="0079114E"/>
    <w:rsid w:val="007B457F"/>
    <w:rsid w:val="007C2C81"/>
    <w:rsid w:val="007C35BA"/>
    <w:rsid w:val="007E2A88"/>
    <w:rsid w:val="007E4037"/>
    <w:rsid w:val="007F07A1"/>
    <w:rsid w:val="007F0C9B"/>
    <w:rsid w:val="007F17F3"/>
    <w:rsid w:val="007F7562"/>
    <w:rsid w:val="00806382"/>
    <w:rsid w:val="00813D6C"/>
    <w:rsid w:val="0081594D"/>
    <w:rsid w:val="00821AA0"/>
    <w:rsid w:val="00824462"/>
    <w:rsid w:val="00826605"/>
    <w:rsid w:val="008331F4"/>
    <w:rsid w:val="0083592A"/>
    <w:rsid w:val="0085258A"/>
    <w:rsid w:val="0085706B"/>
    <w:rsid w:val="00857A8A"/>
    <w:rsid w:val="00861AE0"/>
    <w:rsid w:val="00866E75"/>
    <w:rsid w:val="008704D9"/>
    <w:rsid w:val="00870C4E"/>
    <w:rsid w:val="00874E9B"/>
    <w:rsid w:val="008773C9"/>
    <w:rsid w:val="0088241E"/>
    <w:rsid w:val="00890D65"/>
    <w:rsid w:val="00892618"/>
    <w:rsid w:val="00896CD0"/>
    <w:rsid w:val="008A3273"/>
    <w:rsid w:val="008A3B01"/>
    <w:rsid w:val="008B18D7"/>
    <w:rsid w:val="008B6BA2"/>
    <w:rsid w:val="008C7BD1"/>
    <w:rsid w:val="008E07C6"/>
    <w:rsid w:val="008E2A0B"/>
    <w:rsid w:val="008E6175"/>
    <w:rsid w:val="008F6595"/>
    <w:rsid w:val="008F6912"/>
    <w:rsid w:val="00901A8F"/>
    <w:rsid w:val="00903524"/>
    <w:rsid w:val="009118AB"/>
    <w:rsid w:val="00924E95"/>
    <w:rsid w:val="0093519F"/>
    <w:rsid w:val="0093723D"/>
    <w:rsid w:val="00945EDB"/>
    <w:rsid w:val="00953AF2"/>
    <w:rsid w:val="00971C12"/>
    <w:rsid w:val="009820BC"/>
    <w:rsid w:val="00994893"/>
    <w:rsid w:val="00994C2A"/>
    <w:rsid w:val="009969D2"/>
    <w:rsid w:val="009B7081"/>
    <w:rsid w:val="009C4EBF"/>
    <w:rsid w:val="009D0DA3"/>
    <w:rsid w:val="009D14E6"/>
    <w:rsid w:val="009E2238"/>
    <w:rsid w:val="009E4319"/>
    <w:rsid w:val="009E64DB"/>
    <w:rsid w:val="009F5C9B"/>
    <w:rsid w:val="009F77A7"/>
    <w:rsid w:val="00A01350"/>
    <w:rsid w:val="00A03E21"/>
    <w:rsid w:val="00A067A7"/>
    <w:rsid w:val="00A161FB"/>
    <w:rsid w:val="00A20A4A"/>
    <w:rsid w:val="00A20EEB"/>
    <w:rsid w:val="00A47C8F"/>
    <w:rsid w:val="00A547EA"/>
    <w:rsid w:val="00A61B21"/>
    <w:rsid w:val="00A61EFA"/>
    <w:rsid w:val="00A6343B"/>
    <w:rsid w:val="00A8109A"/>
    <w:rsid w:val="00A87BD3"/>
    <w:rsid w:val="00A97A94"/>
    <w:rsid w:val="00AE4339"/>
    <w:rsid w:val="00AF3EDB"/>
    <w:rsid w:val="00B044AE"/>
    <w:rsid w:val="00B27196"/>
    <w:rsid w:val="00B335CF"/>
    <w:rsid w:val="00B36547"/>
    <w:rsid w:val="00B4164B"/>
    <w:rsid w:val="00B43CB1"/>
    <w:rsid w:val="00B47D06"/>
    <w:rsid w:val="00B527FF"/>
    <w:rsid w:val="00B64632"/>
    <w:rsid w:val="00B64E42"/>
    <w:rsid w:val="00B675E2"/>
    <w:rsid w:val="00B77E70"/>
    <w:rsid w:val="00B86964"/>
    <w:rsid w:val="00BA1EA1"/>
    <w:rsid w:val="00BA2B0A"/>
    <w:rsid w:val="00BB158A"/>
    <w:rsid w:val="00BB62C4"/>
    <w:rsid w:val="00BC5898"/>
    <w:rsid w:val="00BC7845"/>
    <w:rsid w:val="00BD3F49"/>
    <w:rsid w:val="00BE76BD"/>
    <w:rsid w:val="00BF07B5"/>
    <w:rsid w:val="00C15065"/>
    <w:rsid w:val="00C151CC"/>
    <w:rsid w:val="00C155F8"/>
    <w:rsid w:val="00C40DE9"/>
    <w:rsid w:val="00C57494"/>
    <w:rsid w:val="00C85207"/>
    <w:rsid w:val="00C97B85"/>
    <w:rsid w:val="00CA0923"/>
    <w:rsid w:val="00CB01F5"/>
    <w:rsid w:val="00CD0F12"/>
    <w:rsid w:val="00CD287E"/>
    <w:rsid w:val="00CE1D83"/>
    <w:rsid w:val="00D10A35"/>
    <w:rsid w:val="00D16611"/>
    <w:rsid w:val="00D22FAF"/>
    <w:rsid w:val="00D2668E"/>
    <w:rsid w:val="00D3625C"/>
    <w:rsid w:val="00D46985"/>
    <w:rsid w:val="00D47ECC"/>
    <w:rsid w:val="00D504A0"/>
    <w:rsid w:val="00D5120D"/>
    <w:rsid w:val="00D6114E"/>
    <w:rsid w:val="00D872A4"/>
    <w:rsid w:val="00D903A0"/>
    <w:rsid w:val="00D90512"/>
    <w:rsid w:val="00DB1540"/>
    <w:rsid w:val="00DB5EA4"/>
    <w:rsid w:val="00DF4E83"/>
    <w:rsid w:val="00E04604"/>
    <w:rsid w:val="00E16581"/>
    <w:rsid w:val="00E253E4"/>
    <w:rsid w:val="00E35989"/>
    <w:rsid w:val="00E35DEA"/>
    <w:rsid w:val="00E3703B"/>
    <w:rsid w:val="00E42520"/>
    <w:rsid w:val="00E442D4"/>
    <w:rsid w:val="00E503BC"/>
    <w:rsid w:val="00E51596"/>
    <w:rsid w:val="00E53533"/>
    <w:rsid w:val="00E55E4E"/>
    <w:rsid w:val="00E61581"/>
    <w:rsid w:val="00E744C9"/>
    <w:rsid w:val="00EA0095"/>
    <w:rsid w:val="00EA6C4F"/>
    <w:rsid w:val="00ED1361"/>
    <w:rsid w:val="00EE1E2F"/>
    <w:rsid w:val="00F1239A"/>
    <w:rsid w:val="00F35BF7"/>
    <w:rsid w:val="00F40700"/>
    <w:rsid w:val="00F42D45"/>
    <w:rsid w:val="00F43278"/>
    <w:rsid w:val="00F501B4"/>
    <w:rsid w:val="00F54E50"/>
    <w:rsid w:val="00F604F8"/>
    <w:rsid w:val="00F67906"/>
    <w:rsid w:val="00F77CC1"/>
    <w:rsid w:val="00F867E6"/>
    <w:rsid w:val="00F936CB"/>
    <w:rsid w:val="00F93D78"/>
    <w:rsid w:val="00FB5397"/>
    <w:rsid w:val="00FB5D65"/>
    <w:rsid w:val="00FB6CD1"/>
    <w:rsid w:val="00FE7AED"/>
    <w:rsid w:val="00FF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8516">
      <w:bodyDiv w:val="1"/>
      <w:marLeft w:val="0"/>
      <w:marRight w:val="0"/>
      <w:marTop w:val="0"/>
      <w:marBottom w:val="0"/>
      <w:divBdr>
        <w:top w:val="none" w:sz="0" w:space="0" w:color="auto"/>
        <w:left w:val="none" w:sz="0" w:space="0" w:color="auto"/>
        <w:bottom w:val="none" w:sz="0" w:space="0" w:color="auto"/>
        <w:right w:val="none" w:sz="0" w:space="0" w:color="auto"/>
      </w:divBdr>
      <w:divsChild>
        <w:div w:id="202991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control" Target="activeX/activeX22.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7.xml"/><Relationship Id="rId42" Type="http://schemas.openxmlformats.org/officeDocument/2006/relationships/control" Target="activeX/activeX25.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control" Target="activeX/activeX16.xml"/><Relationship Id="rId38" Type="http://schemas.openxmlformats.org/officeDocument/2006/relationships/control" Target="activeX/activeX21.xml"/><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41" Type="http://schemas.openxmlformats.org/officeDocument/2006/relationships/control" Target="activeX/activeX2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9.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control" Target="activeX/activeX1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2</cp:revision>
  <dcterms:created xsi:type="dcterms:W3CDTF">2013-01-09T01:53:00Z</dcterms:created>
  <dcterms:modified xsi:type="dcterms:W3CDTF">2013-01-09T01:53:00Z</dcterms:modified>
</cp:coreProperties>
</file>