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A8" w:rsidRDefault="00C77AA8" w:rsidP="00C77AA8">
      <w:r>
        <w:t>W2A4</w:t>
      </w:r>
    </w:p>
    <w:p w:rsidR="00C77AA8" w:rsidRPr="00E06A24" w:rsidRDefault="00C77AA8" w:rsidP="00C77AA8">
      <w:pPr>
        <w:pStyle w:val="NormalWeb"/>
        <w:rPr>
          <w:rFonts w:ascii="Times New Roman" w:hAnsi="Times New Roman"/>
        </w:rPr>
      </w:pPr>
      <w:r w:rsidRPr="00E06A24">
        <w:rPr>
          <w:rFonts w:ascii="Times New Roman" w:hAnsi="Times New Roman"/>
        </w:rPr>
        <w:t>Choose and c</w:t>
      </w:r>
      <w:bookmarkStart w:id="0" w:name="_GoBack"/>
      <w:bookmarkEnd w:id="0"/>
      <w:r w:rsidRPr="00E06A24">
        <w:rPr>
          <w:rFonts w:ascii="Times New Roman" w:hAnsi="Times New Roman"/>
        </w:rPr>
        <w:t>ompute the appropriate descriptive statistics to describe characteristics of the sample under study (such as sex distribution, age, and ethnicity) and the anxiety reported by the sample at pretreatment, making sure to include at least one example each of visual descriptive, a measure of central tendency, and variability. Report the findings in the APA format and write a brief paragraph describing your findings.</w:t>
      </w:r>
    </w:p>
    <w:p w:rsidR="00CC76BD" w:rsidRDefault="00CC76BD" w:rsidP="00CC76BD">
      <w:pPr>
        <w:spacing w:line="480" w:lineRule="auto"/>
        <w:jc w:val="both"/>
        <w:rPr>
          <w:rFonts w:ascii="Times New Roman" w:hAnsi="Times New Roman" w:cs="Times New Roman"/>
          <w:sz w:val="24"/>
          <w:szCs w:val="24"/>
        </w:rPr>
      </w:pPr>
      <w:r>
        <w:rPr>
          <w:rFonts w:ascii="Times New Roman" w:hAnsi="Times New Roman" w:cs="Times New Roman"/>
          <w:sz w:val="24"/>
          <w:szCs w:val="24"/>
        </w:rPr>
        <w:t>Sex</w:t>
      </w:r>
    </w:p>
    <w:p w:rsidR="00CC76BD" w:rsidRDefault="00CC76BD" w:rsidP="00CC76BD">
      <w:pPr>
        <w:spacing w:line="480" w:lineRule="auto"/>
        <w:jc w:val="both"/>
        <w:rPr>
          <w:rFonts w:ascii="Times New Roman" w:hAnsi="Times New Roman" w:cs="Times New Roman"/>
          <w:sz w:val="24"/>
          <w:szCs w:val="24"/>
        </w:rPr>
      </w:pPr>
      <w:r w:rsidRPr="00CC76BD">
        <w:rPr>
          <w:rFonts w:ascii="Times New Roman" w:hAnsi="Times New Roman" w:cs="Times New Roman"/>
          <w:noProof/>
          <w:sz w:val="24"/>
          <w:szCs w:val="24"/>
        </w:rPr>
        <w:drawing>
          <wp:inline distT="0" distB="0" distL="0" distR="0">
            <wp:extent cx="3848100" cy="31718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C76BD" w:rsidRDefault="00CC76BD" w:rsidP="00CC76BD">
      <w:pPr>
        <w:spacing w:line="480" w:lineRule="auto"/>
        <w:jc w:val="both"/>
        <w:rPr>
          <w:rFonts w:ascii="Times New Roman" w:hAnsi="Times New Roman" w:cs="Times New Roman"/>
          <w:sz w:val="24"/>
          <w:szCs w:val="24"/>
        </w:rPr>
      </w:pPr>
      <w:r w:rsidRPr="00CC76BD">
        <w:rPr>
          <w:rFonts w:ascii="Times New Roman" w:hAnsi="Times New Roman" w:cs="Times New Roman"/>
          <w:noProof/>
          <w:sz w:val="24"/>
          <w:szCs w:val="24"/>
        </w:rPr>
        <w:drawing>
          <wp:inline distT="0" distB="0" distL="0" distR="0">
            <wp:extent cx="4572000" cy="29019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76BD" w:rsidRDefault="00631BFA" w:rsidP="00CC76BD">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CC76BD">
        <w:rPr>
          <w:rFonts w:ascii="Times New Roman" w:hAnsi="Times New Roman" w:cs="Times New Roman"/>
          <w:sz w:val="24"/>
          <w:szCs w:val="24"/>
        </w:rPr>
        <w:t xml:space="preserve"> majority of </w:t>
      </w:r>
      <w:r w:rsidR="00BF734A">
        <w:rPr>
          <w:rFonts w:ascii="Times New Roman" w:hAnsi="Times New Roman" w:cs="Times New Roman"/>
          <w:sz w:val="24"/>
          <w:szCs w:val="24"/>
        </w:rPr>
        <w:t>subjects under consideration are females.</w:t>
      </w:r>
    </w:p>
    <w:p w:rsidR="00BF734A" w:rsidRPr="00BF734A" w:rsidRDefault="00BF734A" w:rsidP="00BF734A">
      <w:pPr>
        <w:spacing w:line="480" w:lineRule="auto"/>
        <w:jc w:val="both"/>
        <w:rPr>
          <w:rFonts w:ascii="Times New Roman" w:hAnsi="Times New Roman" w:cs="Times New Roman"/>
          <w:sz w:val="24"/>
          <w:szCs w:val="24"/>
        </w:rPr>
      </w:pPr>
      <w:r w:rsidRPr="00BF734A">
        <w:rPr>
          <w:rFonts w:ascii="Times New Roman" w:hAnsi="Times New Roman" w:cs="Times New Roman"/>
          <w:sz w:val="24"/>
          <w:szCs w:val="24"/>
        </w:rPr>
        <w:lastRenderedPageBreak/>
        <w:t>Age</w:t>
      </w:r>
    </w:p>
    <w:p w:rsidR="00BF734A" w:rsidRPr="00BF734A" w:rsidRDefault="00BF734A" w:rsidP="00BF734A">
      <w:pPr>
        <w:spacing w:line="480" w:lineRule="auto"/>
        <w:rPr>
          <w:rFonts w:ascii="Times New Roman" w:eastAsia="Times New Roman" w:hAnsi="Times New Roman" w:cs="Times New Roman"/>
          <w:color w:val="000000"/>
          <w:sz w:val="24"/>
          <w:szCs w:val="24"/>
          <w:lang w:eastAsia="en-IN"/>
        </w:rPr>
      </w:pPr>
      <w:r w:rsidRPr="00BF734A">
        <w:rPr>
          <w:rFonts w:ascii="Times New Roman" w:hAnsi="Times New Roman" w:cs="Times New Roman"/>
          <w:sz w:val="24"/>
          <w:szCs w:val="24"/>
        </w:rPr>
        <w:t xml:space="preserve">Mean = </w:t>
      </w:r>
      <w:r w:rsidRPr="00BF734A">
        <w:rPr>
          <w:rFonts w:ascii="Times New Roman" w:hAnsi="Times New Roman" w:cs="Times New Roman"/>
          <w:position w:val="-24"/>
          <w:sz w:val="24"/>
          <w:szCs w:val="24"/>
        </w:rPr>
        <w:object w:dxaOrig="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75pt" o:ole="">
            <v:imagedata r:id="rId7" o:title=""/>
          </v:shape>
          <o:OLEObject Type="Embed" ProgID="Equation.DSMT4" ShapeID="_x0000_i1025" DrawAspect="Content" ObjectID="_1418896800" r:id="rId8"/>
        </w:object>
      </w:r>
      <w:r w:rsidRPr="00BF734A">
        <w:rPr>
          <w:rFonts w:ascii="Times New Roman" w:hAnsi="Times New Roman" w:cs="Times New Roman"/>
          <w:sz w:val="24"/>
          <w:szCs w:val="24"/>
        </w:rPr>
        <w:t xml:space="preserve">= </w:t>
      </w:r>
      <w:r w:rsidRPr="00BF734A">
        <w:rPr>
          <w:rFonts w:ascii="Times New Roman" w:eastAsia="Times New Roman" w:hAnsi="Times New Roman" w:cs="Times New Roman"/>
          <w:color w:val="000000"/>
          <w:sz w:val="24"/>
          <w:szCs w:val="24"/>
          <w:lang w:eastAsia="en-IN"/>
        </w:rPr>
        <w:t>11.11111111</w:t>
      </w:r>
    </w:p>
    <w:p w:rsidR="00BF734A" w:rsidRPr="00BF734A" w:rsidRDefault="00BF734A" w:rsidP="00BF734A">
      <w:pPr>
        <w:spacing w:line="480" w:lineRule="auto"/>
        <w:rPr>
          <w:rFonts w:ascii="Times New Roman" w:hAnsi="Times New Roman" w:cs="Times New Roman"/>
          <w:sz w:val="24"/>
          <w:szCs w:val="24"/>
        </w:rPr>
      </w:pPr>
      <w:r w:rsidRPr="00BF734A">
        <w:rPr>
          <w:rFonts w:ascii="Times New Roman" w:hAnsi="Times New Roman" w:cs="Times New Roman"/>
          <w:sz w:val="24"/>
          <w:szCs w:val="24"/>
          <w:lang w:val="en-US"/>
        </w:rPr>
        <w:t xml:space="preserve">Mean is the arithmetic average </w:t>
      </w:r>
      <w:r w:rsidRPr="00BF734A">
        <w:rPr>
          <w:rFonts w:ascii="Times New Roman" w:hAnsi="Times New Roman" w:cs="Times New Roman"/>
          <w:sz w:val="24"/>
          <w:szCs w:val="24"/>
        </w:rPr>
        <w:t>of data</w:t>
      </w:r>
      <w:r w:rsidR="00631BFA">
        <w:rPr>
          <w:rFonts w:ascii="Times New Roman" w:hAnsi="Times New Roman" w:cs="Times New Roman"/>
          <w:sz w:val="24"/>
          <w:szCs w:val="24"/>
          <w:lang w:val="en-US"/>
        </w:rPr>
        <w:t xml:space="preserve"> that is</w:t>
      </w:r>
      <w:r w:rsidRPr="00BF734A">
        <w:rPr>
          <w:rFonts w:ascii="Times New Roman" w:hAnsi="Times New Roman" w:cs="Times New Roman"/>
          <w:sz w:val="24"/>
          <w:szCs w:val="24"/>
          <w:lang w:val="en-US"/>
        </w:rPr>
        <w:t xml:space="preserve"> the sum of all the numbers divided by the number of observations contributing to that sum. </w:t>
      </w:r>
      <w:r w:rsidRPr="00BF734A">
        <w:rPr>
          <w:rFonts w:ascii="Times New Roman" w:hAnsi="Times New Roman" w:cs="Times New Roman"/>
          <w:sz w:val="24"/>
          <w:szCs w:val="24"/>
        </w:rPr>
        <w:t xml:space="preserve">The mean </w:t>
      </w:r>
      <w:r w:rsidR="00631BFA">
        <w:rPr>
          <w:rFonts w:ascii="Times New Roman" w:hAnsi="Times New Roman" w:cs="Times New Roman"/>
          <w:sz w:val="24"/>
          <w:szCs w:val="24"/>
        </w:rPr>
        <w:t>is the balance point</w:t>
      </w:r>
      <w:r w:rsidRPr="00BF734A">
        <w:rPr>
          <w:rFonts w:ascii="Times New Roman" w:hAnsi="Times New Roman" w:cs="Times New Roman"/>
          <w:sz w:val="24"/>
          <w:szCs w:val="24"/>
        </w:rPr>
        <w:t xml:space="preserve"> </w:t>
      </w:r>
      <w:r w:rsidR="00631BFA">
        <w:rPr>
          <w:rFonts w:ascii="Times New Roman" w:hAnsi="Times New Roman" w:cs="Times New Roman"/>
          <w:sz w:val="24"/>
          <w:szCs w:val="24"/>
        </w:rPr>
        <w:t xml:space="preserve">and </w:t>
      </w:r>
      <w:r w:rsidRPr="00BF734A">
        <w:rPr>
          <w:rFonts w:ascii="Times New Roman" w:hAnsi="Times New Roman" w:cs="Times New Roman"/>
          <w:sz w:val="24"/>
          <w:szCs w:val="24"/>
        </w:rPr>
        <w:t>is the most common measure of central tendency.</w:t>
      </w:r>
    </w:p>
    <w:p w:rsidR="00BF734A" w:rsidRPr="00BF734A" w:rsidRDefault="00BF734A" w:rsidP="00BF734A">
      <w:pPr>
        <w:spacing w:line="480" w:lineRule="auto"/>
        <w:rPr>
          <w:rFonts w:ascii="Times New Roman" w:eastAsia="Times New Roman" w:hAnsi="Times New Roman" w:cs="Times New Roman"/>
          <w:color w:val="000000"/>
          <w:sz w:val="24"/>
          <w:szCs w:val="24"/>
          <w:lang w:eastAsia="en-IN"/>
        </w:rPr>
      </w:pPr>
      <w:r w:rsidRPr="00BF734A">
        <w:rPr>
          <w:rFonts w:ascii="Times New Roman" w:hAnsi="Times New Roman" w:cs="Times New Roman"/>
          <w:sz w:val="24"/>
          <w:szCs w:val="24"/>
        </w:rPr>
        <w:t xml:space="preserve">Standard deviation = </w:t>
      </w:r>
      <w:r w:rsidRPr="00BF734A">
        <w:rPr>
          <w:rFonts w:ascii="Times New Roman" w:hAnsi="Times New Roman" w:cs="Times New Roman"/>
          <w:position w:val="-26"/>
          <w:sz w:val="24"/>
          <w:szCs w:val="24"/>
        </w:rPr>
        <w:object w:dxaOrig="1440" w:dyaOrig="820">
          <v:shape id="_x0000_i1026" type="#_x0000_t75" style="width:1in;height:41.25pt" o:ole="">
            <v:imagedata r:id="rId9" o:title=""/>
          </v:shape>
          <o:OLEObject Type="Embed" ProgID="Equation.DSMT4" ShapeID="_x0000_i1026" DrawAspect="Content" ObjectID="_1418896801" r:id="rId10"/>
        </w:object>
      </w:r>
      <w:r w:rsidRPr="00BF734A">
        <w:rPr>
          <w:rFonts w:ascii="Times New Roman" w:hAnsi="Times New Roman" w:cs="Times New Roman"/>
          <w:sz w:val="24"/>
          <w:szCs w:val="24"/>
        </w:rPr>
        <w:t xml:space="preserve">= </w:t>
      </w:r>
      <w:r w:rsidRPr="00BF734A">
        <w:rPr>
          <w:rFonts w:ascii="Times New Roman" w:eastAsia="Times New Roman" w:hAnsi="Times New Roman" w:cs="Times New Roman"/>
          <w:color w:val="000000"/>
          <w:sz w:val="24"/>
          <w:szCs w:val="24"/>
          <w:lang w:eastAsia="en-IN"/>
        </w:rPr>
        <w:t>1.615893286</w:t>
      </w:r>
    </w:p>
    <w:p w:rsidR="00BF734A" w:rsidRPr="005E2F2F" w:rsidRDefault="00BF734A" w:rsidP="00BF734A">
      <w:pPr>
        <w:spacing w:line="480" w:lineRule="auto"/>
        <w:rPr>
          <w:rFonts w:ascii="Verdana" w:eastAsia="Times New Roman" w:hAnsi="Verdana" w:cs="Calibri"/>
          <w:b/>
          <w:bCs/>
          <w:color w:val="000000"/>
          <w:lang w:eastAsia="en-IN"/>
        </w:rPr>
      </w:pPr>
      <w:r w:rsidRPr="00BF734A">
        <w:rPr>
          <w:rFonts w:ascii="Times New Roman" w:eastAsia="Times New Roman" w:hAnsi="Times New Roman" w:cs="Times New Roman"/>
          <w:sz w:val="24"/>
          <w:szCs w:val="24"/>
          <w:lang w:eastAsia="en-IN"/>
        </w:rPr>
        <w:t>The standard deviation</w:t>
      </w:r>
      <w:r w:rsidR="00631BFA">
        <w:rPr>
          <w:rFonts w:ascii="Times New Roman" w:eastAsia="Times New Roman" w:hAnsi="Times New Roman" w:cs="Times New Roman"/>
          <w:sz w:val="24"/>
          <w:szCs w:val="24"/>
          <w:lang w:eastAsia="en-IN"/>
        </w:rPr>
        <w:t xml:space="preserve"> is the square root of variance</w:t>
      </w:r>
      <w:r w:rsidRPr="00BF734A">
        <w:rPr>
          <w:rFonts w:ascii="Times New Roman" w:eastAsia="Times New Roman" w:hAnsi="Times New Roman" w:cs="Times New Roman"/>
          <w:sz w:val="24"/>
          <w:szCs w:val="24"/>
          <w:lang w:eastAsia="en-IN"/>
        </w:rPr>
        <w:t xml:space="preserve"> a measure of the degree of dispersion </w:t>
      </w:r>
      <w:proofErr w:type="gramStart"/>
      <w:r w:rsidRPr="00BF734A">
        <w:rPr>
          <w:rFonts w:ascii="Times New Roman" w:eastAsia="Times New Roman" w:hAnsi="Times New Roman" w:cs="Times New Roman"/>
          <w:sz w:val="24"/>
          <w:szCs w:val="24"/>
          <w:lang w:eastAsia="en-IN"/>
        </w:rPr>
        <w:t>of  data</w:t>
      </w:r>
      <w:proofErr w:type="gramEnd"/>
      <w:r w:rsidRPr="00BF734A">
        <w:rPr>
          <w:rFonts w:ascii="Times New Roman" w:eastAsia="Times New Roman" w:hAnsi="Times New Roman" w:cs="Times New Roman"/>
          <w:sz w:val="24"/>
          <w:szCs w:val="24"/>
          <w:lang w:eastAsia="en-IN"/>
        </w:rPr>
        <w:t xml:space="preserve"> from the mean value. A large standard deviation indicates that the data points are far from the mean and a small standard deviation indicates that they are closely around the mean.</w:t>
      </w:r>
    </w:p>
    <w:tbl>
      <w:tblPr>
        <w:tblW w:w="3500" w:type="dxa"/>
        <w:jc w:val="center"/>
        <w:tblInd w:w="98" w:type="dxa"/>
        <w:tblLook w:val="04A0" w:firstRow="1" w:lastRow="0" w:firstColumn="1" w:lastColumn="0" w:noHBand="0" w:noVBand="1"/>
      </w:tblPr>
      <w:tblGrid>
        <w:gridCol w:w="2029"/>
        <w:gridCol w:w="1471"/>
      </w:tblGrid>
      <w:tr w:rsidR="00BF734A" w:rsidRPr="00BF734A" w:rsidTr="00BF734A">
        <w:trPr>
          <w:trHeight w:val="300"/>
          <w:jc w:val="center"/>
        </w:trPr>
        <w:tc>
          <w:tcPr>
            <w:tcW w:w="3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734A" w:rsidRPr="00BF734A" w:rsidRDefault="00BF734A" w:rsidP="00BF734A">
            <w:pPr>
              <w:spacing w:after="0" w:line="240" w:lineRule="auto"/>
              <w:jc w:val="center"/>
              <w:rPr>
                <w:rFonts w:ascii="Calibri" w:eastAsia="Times New Roman" w:hAnsi="Calibri" w:cs="Times New Roman"/>
                <w:b/>
                <w:bCs/>
                <w:color w:val="000000"/>
                <w:lang w:eastAsia="en-IN"/>
              </w:rPr>
            </w:pPr>
            <w:r w:rsidRPr="00BF734A">
              <w:rPr>
                <w:rFonts w:ascii="Calibri" w:eastAsia="Times New Roman" w:hAnsi="Calibri" w:cs="Times New Roman"/>
                <w:b/>
                <w:bCs/>
                <w:color w:val="000000"/>
                <w:lang w:eastAsia="en-IN"/>
              </w:rPr>
              <w:t>Age</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Mean</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11.11111111</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Standard Error</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0.538631095</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Median</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11</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Mode</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10</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Standard Deviation</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1.615893286</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Sample Variance</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2.611111111</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Kurtosis</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-0.350384789</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Skewness</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0.686569158</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Range</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5</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Minimum</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9</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Maximum</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14</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Sum</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100</w:t>
            </w:r>
          </w:p>
        </w:tc>
      </w:tr>
      <w:tr w:rsidR="00BF734A" w:rsidRPr="00BF734A" w:rsidTr="00BF734A">
        <w:trPr>
          <w:trHeight w:val="300"/>
          <w:jc w:val="center"/>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Count</w:t>
            </w:r>
          </w:p>
        </w:tc>
        <w:tc>
          <w:tcPr>
            <w:tcW w:w="1471" w:type="dxa"/>
            <w:tcBorders>
              <w:top w:val="nil"/>
              <w:left w:val="nil"/>
              <w:bottom w:val="single" w:sz="4" w:space="0" w:color="auto"/>
              <w:right w:val="single" w:sz="4" w:space="0" w:color="auto"/>
            </w:tcBorders>
            <w:shd w:val="clear" w:color="auto" w:fill="auto"/>
            <w:noWrap/>
            <w:vAlign w:val="bottom"/>
            <w:hideMark/>
          </w:tcPr>
          <w:p w:rsidR="00BF734A" w:rsidRPr="00BF734A" w:rsidRDefault="00BF734A" w:rsidP="00BF734A">
            <w:pPr>
              <w:spacing w:after="0" w:line="240" w:lineRule="auto"/>
              <w:jc w:val="right"/>
              <w:rPr>
                <w:rFonts w:ascii="Calibri" w:eastAsia="Times New Roman" w:hAnsi="Calibri" w:cs="Times New Roman"/>
                <w:color w:val="000000"/>
                <w:lang w:eastAsia="en-IN"/>
              </w:rPr>
            </w:pPr>
            <w:r w:rsidRPr="00BF734A">
              <w:rPr>
                <w:rFonts w:ascii="Calibri" w:eastAsia="Times New Roman" w:hAnsi="Calibri" w:cs="Times New Roman"/>
                <w:color w:val="000000"/>
                <w:lang w:eastAsia="en-IN"/>
              </w:rPr>
              <w:t>9</w:t>
            </w:r>
          </w:p>
        </w:tc>
      </w:tr>
    </w:tbl>
    <w:p w:rsidR="00BF734A" w:rsidRDefault="00BF734A" w:rsidP="00CC76BD">
      <w:pPr>
        <w:spacing w:line="480" w:lineRule="auto"/>
        <w:jc w:val="both"/>
        <w:rPr>
          <w:rFonts w:ascii="Times New Roman" w:hAnsi="Times New Roman" w:cs="Times New Roman"/>
          <w:sz w:val="24"/>
          <w:szCs w:val="24"/>
        </w:rPr>
      </w:pPr>
    </w:p>
    <w:p w:rsidR="002524E8" w:rsidRDefault="002524E8" w:rsidP="00CC76BD">
      <w:pPr>
        <w:spacing w:line="480" w:lineRule="auto"/>
        <w:jc w:val="both"/>
        <w:rPr>
          <w:rFonts w:ascii="Times New Roman" w:hAnsi="Times New Roman" w:cs="Times New Roman"/>
          <w:sz w:val="24"/>
          <w:szCs w:val="24"/>
        </w:rPr>
      </w:pPr>
      <w:r w:rsidRPr="002524E8">
        <w:rPr>
          <w:rFonts w:ascii="Times New Roman" w:hAnsi="Times New Roman" w:cs="Times New Roman"/>
          <w:noProof/>
          <w:sz w:val="24"/>
          <w:szCs w:val="24"/>
        </w:rPr>
        <w:lastRenderedPageBreak/>
        <w:drawing>
          <wp:inline distT="0" distB="0" distL="0" distR="0">
            <wp:extent cx="4254500" cy="3200400"/>
            <wp:effectExtent l="1905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734A" w:rsidRDefault="000625E1" w:rsidP="00CC76BD">
      <w:pPr>
        <w:spacing w:line="480" w:lineRule="auto"/>
        <w:jc w:val="both"/>
        <w:rPr>
          <w:rFonts w:ascii="Times New Roman" w:hAnsi="Times New Roman" w:cs="Times New Roman"/>
          <w:sz w:val="24"/>
          <w:szCs w:val="24"/>
        </w:rPr>
      </w:pPr>
      <w:r w:rsidRPr="000625E1">
        <w:rPr>
          <w:rFonts w:ascii="Times New Roman" w:hAnsi="Times New Roman" w:cs="Times New Roman"/>
          <w:noProof/>
          <w:sz w:val="24"/>
          <w:szCs w:val="24"/>
        </w:rPr>
        <w:drawing>
          <wp:inline distT="0" distB="0" distL="0" distR="0">
            <wp:extent cx="379095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25E1" w:rsidRPr="00CC76BD" w:rsidRDefault="000625E1" w:rsidP="00CC76BD">
      <w:pPr>
        <w:spacing w:line="480" w:lineRule="auto"/>
        <w:jc w:val="both"/>
        <w:rPr>
          <w:rFonts w:ascii="Times New Roman" w:hAnsi="Times New Roman" w:cs="Times New Roman"/>
          <w:sz w:val="24"/>
          <w:szCs w:val="24"/>
        </w:rPr>
      </w:pPr>
      <w:r w:rsidRPr="000625E1">
        <w:rPr>
          <w:rFonts w:ascii="Times New Roman" w:hAnsi="Times New Roman" w:cs="Times New Roman"/>
          <w:noProof/>
          <w:sz w:val="24"/>
          <w:szCs w:val="24"/>
        </w:rPr>
        <w:lastRenderedPageBreak/>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25E1" w:rsidRDefault="000625E1" w:rsidP="00CC76BD">
      <w:pPr>
        <w:spacing w:line="480" w:lineRule="auto"/>
        <w:jc w:val="both"/>
        <w:rPr>
          <w:rFonts w:ascii="Times New Roman" w:hAnsi="Times New Roman" w:cs="Times New Roman"/>
          <w:sz w:val="24"/>
          <w:szCs w:val="24"/>
        </w:rPr>
      </w:pPr>
      <w:r>
        <w:rPr>
          <w:rFonts w:ascii="Times New Roman" w:hAnsi="Times New Roman" w:cs="Times New Roman"/>
          <w:sz w:val="24"/>
          <w:szCs w:val="24"/>
        </w:rPr>
        <w:t>45% of the subjects are Caucasian.</w:t>
      </w:r>
    </w:p>
    <w:p w:rsidR="000625E1" w:rsidRDefault="000625E1" w:rsidP="00CC76BD">
      <w:pPr>
        <w:spacing w:line="480" w:lineRule="auto"/>
        <w:jc w:val="both"/>
        <w:rPr>
          <w:rFonts w:ascii="Times New Roman" w:hAnsi="Times New Roman" w:cs="Times New Roman"/>
          <w:sz w:val="24"/>
          <w:szCs w:val="24"/>
        </w:rPr>
      </w:pPr>
      <w:r>
        <w:rPr>
          <w:rFonts w:ascii="Times New Roman" w:hAnsi="Times New Roman" w:cs="Times New Roman"/>
          <w:sz w:val="24"/>
          <w:szCs w:val="24"/>
        </w:rPr>
        <w:t>33% are African American</w:t>
      </w:r>
    </w:p>
    <w:p w:rsidR="000625E1" w:rsidRDefault="00E6378A" w:rsidP="00CC76BD">
      <w:pPr>
        <w:spacing w:line="480" w:lineRule="auto"/>
        <w:jc w:val="both"/>
        <w:rPr>
          <w:rFonts w:ascii="Times New Roman" w:hAnsi="Times New Roman" w:cs="Times New Roman"/>
          <w:sz w:val="24"/>
          <w:szCs w:val="24"/>
        </w:rPr>
      </w:pPr>
      <w:r>
        <w:rPr>
          <w:rFonts w:ascii="Times New Roman" w:hAnsi="Times New Roman" w:cs="Times New Roman"/>
          <w:sz w:val="24"/>
          <w:szCs w:val="24"/>
        </w:rPr>
        <w:t>22% are Latino</w:t>
      </w:r>
    </w:p>
    <w:p w:rsidR="002524E8" w:rsidRPr="0006344B" w:rsidRDefault="007E6A90" w:rsidP="00CC76BD">
      <w:pPr>
        <w:spacing w:line="480" w:lineRule="auto"/>
        <w:jc w:val="both"/>
        <w:rPr>
          <w:rFonts w:ascii="Times New Roman" w:hAnsi="Times New Roman" w:cs="Times New Roman"/>
          <w:sz w:val="24"/>
          <w:szCs w:val="24"/>
        </w:rPr>
      </w:pPr>
      <w:r w:rsidRPr="0006344B">
        <w:rPr>
          <w:rFonts w:ascii="Times New Roman" w:hAnsi="Times New Roman" w:cs="Times New Roman"/>
          <w:sz w:val="24"/>
          <w:szCs w:val="24"/>
        </w:rPr>
        <w:t>Anxiety Pre-treatment</w:t>
      </w:r>
    </w:p>
    <w:p w:rsidR="007E6A90" w:rsidRPr="007E6A90" w:rsidRDefault="007E6A90" w:rsidP="007E6A90">
      <w:pPr>
        <w:spacing w:line="480" w:lineRule="auto"/>
        <w:rPr>
          <w:rFonts w:ascii="Times New Roman" w:eastAsia="Times New Roman" w:hAnsi="Times New Roman" w:cs="Times New Roman"/>
          <w:color w:val="000000"/>
          <w:sz w:val="24"/>
          <w:szCs w:val="24"/>
          <w:lang w:eastAsia="en-IN"/>
        </w:rPr>
      </w:pPr>
      <w:r w:rsidRPr="007E6A90">
        <w:rPr>
          <w:rFonts w:ascii="Times New Roman" w:hAnsi="Times New Roman" w:cs="Times New Roman"/>
          <w:sz w:val="24"/>
          <w:szCs w:val="24"/>
        </w:rPr>
        <w:t xml:space="preserve">Mean = </w:t>
      </w:r>
      <w:r w:rsidRPr="007E6A90">
        <w:rPr>
          <w:rFonts w:ascii="Times New Roman" w:hAnsi="Times New Roman" w:cs="Times New Roman"/>
          <w:position w:val="-24"/>
          <w:sz w:val="24"/>
          <w:szCs w:val="24"/>
        </w:rPr>
        <w:object w:dxaOrig="600" w:dyaOrig="680">
          <v:shape id="_x0000_i1027" type="#_x0000_t75" style="width:30pt;height:33.75pt" o:ole="">
            <v:imagedata r:id="rId7" o:title=""/>
          </v:shape>
          <o:OLEObject Type="Embed" ProgID="Equation.DSMT4" ShapeID="_x0000_i1027" DrawAspect="Content" ObjectID="_1418896802" r:id="rId14"/>
        </w:object>
      </w:r>
      <w:r w:rsidRPr="007E6A90">
        <w:rPr>
          <w:rFonts w:ascii="Times New Roman" w:hAnsi="Times New Roman" w:cs="Times New Roman"/>
          <w:sz w:val="24"/>
          <w:szCs w:val="24"/>
        </w:rPr>
        <w:t xml:space="preserve">= </w:t>
      </w:r>
      <w:r w:rsidRPr="007E6A90">
        <w:rPr>
          <w:rFonts w:ascii="Times New Roman" w:eastAsia="Times New Roman" w:hAnsi="Times New Roman" w:cs="Times New Roman"/>
          <w:color w:val="000000"/>
          <w:sz w:val="24"/>
          <w:szCs w:val="24"/>
          <w:lang w:eastAsia="en-IN"/>
        </w:rPr>
        <w:t>23</w:t>
      </w:r>
    </w:p>
    <w:p w:rsidR="0006344B" w:rsidRPr="00BF734A" w:rsidRDefault="0006344B" w:rsidP="0006344B">
      <w:pPr>
        <w:spacing w:line="480" w:lineRule="auto"/>
        <w:rPr>
          <w:rFonts w:ascii="Times New Roman" w:hAnsi="Times New Roman" w:cs="Times New Roman"/>
          <w:sz w:val="24"/>
          <w:szCs w:val="24"/>
        </w:rPr>
      </w:pPr>
      <w:r w:rsidRPr="00BF734A">
        <w:rPr>
          <w:rFonts w:ascii="Times New Roman" w:hAnsi="Times New Roman" w:cs="Times New Roman"/>
          <w:sz w:val="24"/>
          <w:szCs w:val="24"/>
          <w:lang w:val="en-US"/>
        </w:rPr>
        <w:t xml:space="preserve">Mean is the arithmetic average </w:t>
      </w:r>
      <w:r w:rsidRPr="00BF734A">
        <w:rPr>
          <w:rFonts w:ascii="Times New Roman" w:hAnsi="Times New Roman" w:cs="Times New Roman"/>
          <w:sz w:val="24"/>
          <w:szCs w:val="24"/>
        </w:rPr>
        <w:t>of data</w:t>
      </w:r>
      <w:r>
        <w:rPr>
          <w:rFonts w:ascii="Times New Roman" w:hAnsi="Times New Roman" w:cs="Times New Roman"/>
          <w:sz w:val="24"/>
          <w:szCs w:val="24"/>
          <w:lang w:val="en-US"/>
        </w:rPr>
        <w:t xml:space="preserve"> that is</w:t>
      </w:r>
      <w:r w:rsidRPr="00BF734A">
        <w:rPr>
          <w:rFonts w:ascii="Times New Roman" w:hAnsi="Times New Roman" w:cs="Times New Roman"/>
          <w:sz w:val="24"/>
          <w:szCs w:val="24"/>
          <w:lang w:val="en-US"/>
        </w:rPr>
        <w:t xml:space="preserve"> the sum of all the numbers divided by the number of observations contributing to that sum. </w:t>
      </w:r>
      <w:r w:rsidRPr="00BF734A">
        <w:rPr>
          <w:rFonts w:ascii="Times New Roman" w:hAnsi="Times New Roman" w:cs="Times New Roman"/>
          <w:sz w:val="24"/>
          <w:szCs w:val="24"/>
        </w:rPr>
        <w:t xml:space="preserve">The mean </w:t>
      </w:r>
      <w:r>
        <w:rPr>
          <w:rFonts w:ascii="Times New Roman" w:hAnsi="Times New Roman" w:cs="Times New Roman"/>
          <w:sz w:val="24"/>
          <w:szCs w:val="24"/>
        </w:rPr>
        <w:t>is the balance point</w:t>
      </w:r>
      <w:r w:rsidRPr="00BF734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F734A">
        <w:rPr>
          <w:rFonts w:ascii="Times New Roman" w:hAnsi="Times New Roman" w:cs="Times New Roman"/>
          <w:sz w:val="24"/>
          <w:szCs w:val="24"/>
        </w:rPr>
        <w:t>is the most common measure of central tendency.</w:t>
      </w:r>
    </w:p>
    <w:p w:rsidR="007E6A90" w:rsidRPr="007E6A90" w:rsidRDefault="007E6A90" w:rsidP="007E6A90">
      <w:pPr>
        <w:spacing w:line="480" w:lineRule="auto"/>
        <w:rPr>
          <w:rFonts w:ascii="Times New Roman" w:eastAsia="Times New Roman" w:hAnsi="Times New Roman" w:cs="Times New Roman"/>
          <w:color w:val="000000"/>
          <w:sz w:val="24"/>
          <w:szCs w:val="24"/>
          <w:lang w:eastAsia="en-IN"/>
        </w:rPr>
      </w:pPr>
      <w:r w:rsidRPr="007E6A90">
        <w:rPr>
          <w:rFonts w:ascii="Times New Roman" w:hAnsi="Times New Roman" w:cs="Times New Roman"/>
          <w:sz w:val="24"/>
          <w:szCs w:val="24"/>
        </w:rPr>
        <w:t xml:space="preserve">Standard deviation = </w:t>
      </w:r>
      <w:r w:rsidRPr="007E6A90">
        <w:rPr>
          <w:rFonts w:ascii="Times New Roman" w:hAnsi="Times New Roman" w:cs="Times New Roman"/>
          <w:position w:val="-26"/>
          <w:sz w:val="24"/>
          <w:szCs w:val="24"/>
        </w:rPr>
        <w:object w:dxaOrig="1440" w:dyaOrig="820">
          <v:shape id="_x0000_i1028" type="#_x0000_t75" style="width:1in;height:41.25pt" o:ole="">
            <v:imagedata r:id="rId9" o:title=""/>
          </v:shape>
          <o:OLEObject Type="Embed" ProgID="Equation.DSMT4" ShapeID="_x0000_i1028" DrawAspect="Content" ObjectID="_1418896803" r:id="rId15"/>
        </w:object>
      </w:r>
      <w:r w:rsidRPr="007E6A90">
        <w:rPr>
          <w:rFonts w:ascii="Times New Roman" w:hAnsi="Times New Roman" w:cs="Times New Roman"/>
          <w:sz w:val="24"/>
          <w:szCs w:val="24"/>
        </w:rPr>
        <w:t xml:space="preserve">= </w:t>
      </w:r>
      <w:r w:rsidRPr="007E6A90">
        <w:rPr>
          <w:rFonts w:ascii="Times New Roman" w:eastAsia="Times New Roman" w:hAnsi="Times New Roman" w:cs="Times New Roman"/>
          <w:color w:val="000000"/>
          <w:sz w:val="24"/>
          <w:szCs w:val="24"/>
          <w:lang w:eastAsia="en-IN"/>
        </w:rPr>
        <w:t>2.179449472</w:t>
      </w:r>
    </w:p>
    <w:p w:rsidR="007E6A90" w:rsidRDefault="007E6A90" w:rsidP="007E6A90">
      <w:pPr>
        <w:spacing w:line="480" w:lineRule="auto"/>
        <w:jc w:val="both"/>
        <w:rPr>
          <w:rFonts w:ascii="Times New Roman" w:hAnsi="Times New Roman" w:cs="Times New Roman"/>
          <w:b/>
          <w:sz w:val="24"/>
          <w:szCs w:val="24"/>
        </w:rPr>
      </w:pPr>
      <w:r w:rsidRPr="00BF734A">
        <w:rPr>
          <w:rFonts w:ascii="Times New Roman" w:eastAsia="Times New Roman" w:hAnsi="Times New Roman" w:cs="Times New Roman"/>
          <w:sz w:val="24"/>
          <w:szCs w:val="24"/>
          <w:lang w:eastAsia="en-IN"/>
        </w:rPr>
        <w:t>The standard deviation is the square root of variance, a measure of the degree of dispersion of the data from the mean value. A large standard deviation indicates that the data points are far from the mean and a small standard deviation indicates that they are closely around the mean.</w:t>
      </w:r>
    </w:p>
    <w:tbl>
      <w:tblPr>
        <w:tblW w:w="3566" w:type="dxa"/>
        <w:jc w:val="center"/>
        <w:tblInd w:w="98" w:type="dxa"/>
        <w:tblLook w:val="04A0" w:firstRow="1" w:lastRow="0" w:firstColumn="1" w:lastColumn="0" w:noHBand="0" w:noVBand="1"/>
      </w:tblPr>
      <w:tblGrid>
        <w:gridCol w:w="1971"/>
        <w:gridCol w:w="1595"/>
      </w:tblGrid>
      <w:tr w:rsidR="007E6A90" w:rsidRPr="007E6A90" w:rsidTr="007E6A90">
        <w:trPr>
          <w:trHeight w:val="300"/>
          <w:jc w:val="center"/>
        </w:trPr>
        <w:tc>
          <w:tcPr>
            <w:tcW w:w="35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6A90" w:rsidRPr="007E6A90" w:rsidRDefault="007E6A90" w:rsidP="007E6A90">
            <w:pPr>
              <w:spacing w:after="0" w:line="240" w:lineRule="auto"/>
              <w:jc w:val="center"/>
              <w:rPr>
                <w:rFonts w:ascii="Calibri" w:eastAsia="Times New Roman" w:hAnsi="Calibri" w:cs="Times New Roman"/>
                <w:b/>
                <w:bCs/>
                <w:color w:val="000000"/>
                <w:lang w:eastAsia="en-IN"/>
              </w:rPr>
            </w:pPr>
            <w:r w:rsidRPr="007E6A90">
              <w:rPr>
                <w:rFonts w:ascii="Calibri" w:eastAsia="Times New Roman" w:hAnsi="Calibri" w:cs="Times New Roman"/>
                <w:b/>
                <w:bCs/>
                <w:color w:val="000000"/>
                <w:lang w:eastAsia="en-IN"/>
              </w:rPr>
              <w:lastRenderedPageBreak/>
              <w:t>Pre-RCMAS</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Mean</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23</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Standard Error</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0.726483157</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Median</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22</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Mode</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22</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Standard Deviation</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2.179449472</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Sample Variance</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4.75</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Kurtosis</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-1.271072418</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Skewness</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0.372584951</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Range</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6</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Minimum</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20</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Maximum</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26</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Sum</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207</w:t>
            </w:r>
          </w:p>
        </w:tc>
      </w:tr>
      <w:tr w:rsidR="007E6A90" w:rsidRPr="007E6A90" w:rsidTr="007E6A90">
        <w:trPr>
          <w:trHeight w:val="300"/>
          <w:jc w:val="center"/>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Count</w:t>
            </w:r>
          </w:p>
        </w:tc>
        <w:tc>
          <w:tcPr>
            <w:tcW w:w="1595" w:type="dxa"/>
            <w:tcBorders>
              <w:top w:val="nil"/>
              <w:left w:val="nil"/>
              <w:bottom w:val="single" w:sz="4" w:space="0" w:color="auto"/>
              <w:right w:val="single" w:sz="4" w:space="0" w:color="auto"/>
            </w:tcBorders>
            <w:shd w:val="clear" w:color="auto" w:fill="auto"/>
            <w:noWrap/>
            <w:vAlign w:val="bottom"/>
            <w:hideMark/>
          </w:tcPr>
          <w:p w:rsidR="007E6A90" w:rsidRPr="007E6A90" w:rsidRDefault="007E6A90" w:rsidP="007E6A90">
            <w:pPr>
              <w:spacing w:after="0" w:line="240" w:lineRule="auto"/>
              <w:jc w:val="right"/>
              <w:rPr>
                <w:rFonts w:ascii="Calibri" w:eastAsia="Times New Roman" w:hAnsi="Calibri" w:cs="Times New Roman"/>
                <w:color w:val="000000"/>
                <w:lang w:eastAsia="en-IN"/>
              </w:rPr>
            </w:pPr>
            <w:r w:rsidRPr="007E6A90">
              <w:rPr>
                <w:rFonts w:ascii="Calibri" w:eastAsia="Times New Roman" w:hAnsi="Calibri" w:cs="Times New Roman"/>
                <w:color w:val="000000"/>
                <w:lang w:eastAsia="en-IN"/>
              </w:rPr>
              <w:t>9</w:t>
            </w:r>
          </w:p>
        </w:tc>
      </w:tr>
    </w:tbl>
    <w:p w:rsidR="007E6A90" w:rsidRDefault="007E6A90" w:rsidP="00CC76BD">
      <w:pPr>
        <w:spacing w:line="480" w:lineRule="auto"/>
        <w:jc w:val="both"/>
        <w:rPr>
          <w:rFonts w:ascii="Times New Roman" w:hAnsi="Times New Roman" w:cs="Times New Roman"/>
          <w:b/>
          <w:sz w:val="24"/>
          <w:szCs w:val="24"/>
        </w:rPr>
      </w:pPr>
    </w:p>
    <w:p w:rsidR="007E6A90" w:rsidRPr="007E6A90" w:rsidRDefault="007E6A90" w:rsidP="007E6A90">
      <w:pPr>
        <w:spacing w:line="480" w:lineRule="auto"/>
        <w:jc w:val="center"/>
        <w:rPr>
          <w:rFonts w:ascii="Times New Roman" w:hAnsi="Times New Roman" w:cs="Times New Roman"/>
          <w:b/>
          <w:sz w:val="24"/>
          <w:szCs w:val="24"/>
        </w:rPr>
      </w:pPr>
      <w:r w:rsidRPr="007E6A90">
        <w:rPr>
          <w:rFonts w:ascii="Times New Roman" w:hAnsi="Times New Roman" w:cs="Times New Roman"/>
          <w:b/>
          <w:noProof/>
          <w:sz w:val="24"/>
          <w:szCs w:val="24"/>
        </w:rPr>
        <w:drawing>
          <wp:inline distT="0" distB="0" distL="0" distR="0">
            <wp:extent cx="4254500" cy="3200400"/>
            <wp:effectExtent l="19050" t="0" r="1270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6A90" w:rsidRDefault="007E6A90" w:rsidP="00CC76BD">
      <w:pPr>
        <w:spacing w:line="480" w:lineRule="auto"/>
        <w:jc w:val="both"/>
        <w:rPr>
          <w:rFonts w:ascii="Times New Roman" w:hAnsi="Times New Roman" w:cs="Times New Roman"/>
          <w:sz w:val="24"/>
          <w:szCs w:val="24"/>
        </w:rPr>
      </w:pPr>
    </w:p>
    <w:sectPr w:rsidR="007E6A90" w:rsidSect="00C5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BD"/>
    <w:rsid w:val="000625E1"/>
    <w:rsid w:val="0006344B"/>
    <w:rsid w:val="001A0256"/>
    <w:rsid w:val="002524E8"/>
    <w:rsid w:val="002B2E16"/>
    <w:rsid w:val="004B0CBC"/>
    <w:rsid w:val="00615720"/>
    <w:rsid w:val="00631BFA"/>
    <w:rsid w:val="007C79A4"/>
    <w:rsid w:val="007E6A90"/>
    <w:rsid w:val="009C573B"/>
    <w:rsid w:val="00A924AB"/>
    <w:rsid w:val="00BF734A"/>
    <w:rsid w:val="00C5570C"/>
    <w:rsid w:val="00C77AA8"/>
    <w:rsid w:val="00CC76BD"/>
    <w:rsid w:val="00E6378A"/>
    <w:rsid w:val="00FD6C00"/>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BD"/>
    <w:rPr>
      <w:rFonts w:ascii="Tahoma" w:hAnsi="Tahoma" w:cs="Tahoma"/>
      <w:sz w:val="16"/>
      <w:szCs w:val="16"/>
    </w:rPr>
  </w:style>
  <w:style w:type="paragraph" w:styleId="NormalWeb">
    <w:name w:val="Normal (Web)"/>
    <w:basedOn w:val="Normal"/>
    <w:uiPriority w:val="99"/>
    <w:semiHidden/>
    <w:unhideWhenUsed/>
    <w:rsid w:val="00C77AA8"/>
    <w:pPr>
      <w:spacing w:before="100" w:beforeAutospacing="1" w:after="100" w:afterAutospacing="1" w:line="240" w:lineRule="auto"/>
    </w:pPr>
    <w:rPr>
      <w:rFonts w:ascii="Verdana" w:eastAsia="Times New Roman" w:hAnsi="Verdan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BD"/>
    <w:rPr>
      <w:rFonts w:ascii="Tahoma" w:hAnsi="Tahoma" w:cs="Tahoma"/>
      <w:sz w:val="16"/>
      <w:szCs w:val="16"/>
    </w:rPr>
  </w:style>
  <w:style w:type="paragraph" w:styleId="NormalWeb">
    <w:name w:val="Normal (Web)"/>
    <w:basedOn w:val="Normal"/>
    <w:uiPriority w:val="99"/>
    <w:semiHidden/>
    <w:unhideWhenUsed/>
    <w:rsid w:val="00C77AA8"/>
    <w:pPr>
      <w:spacing w:before="100" w:beforeAutospacing="1" w:after="100" w:afterAutospacing="1"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1872">
      <w:bodyDiv w:val="1"/>
      <w:marLeft w:val="0"/>
      <w:marRight w:val="0"/>
      <w:marTop w:val="0"/>
      <w:marBottom w:val="0"/>
      <w:divBdr>
        <w:top w:val="none" w:sz="0" w:space="0" w:color="auto"/>
        <w:left w:val="none" w:sz="0" w:space="0" w:color="auto"/>
        <w:bottom w:val="none" w:sz="0" w:space="0" w:color="auto"/>
        <w:right w:val="none" w:sz="0" w:space="0" w:color="auto"/>
      </w:divBdr>
    </w:div>
    <w:div w:id="1949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6.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3.xml"/><Relationship Id="rId5" Type="http://schemas.openxmlformats.org/officeDocument/2006/relationships/chart" Target="charts/chart1.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Pie Chart: Sex</a:t>
            </a:r>
          </a:p>
        </c:rich>
      </c:tx>
      <c:overlay val="0"/>
    </c:title>
    <c:autoTitleDeleted val="0"/>
    <c:plotArea>
      <c:layout/>
      <c:pieChart>
        <c:varyColors val="1"/>
        <c:ser>
          <c:idx val="0"/>
          <c:order val="0"/>
          <c:tx>
            <c:strRef>
              <c:f>Sex!$D$1</c:f>
              <c:strCache>
                <c:ptCount val="1"/>
                <c:pt idx="0">
                  <c:v>Frequency</c:v>
                </c:pt>
              </c:strCache>
            </c:strRef>
          </c:tx>
          <c:dLbls>
            <c:txPr>
              <a:bodyPr/>
              <a:lstStyle/>
              <a:p>
                <a:pPr>
                  <a:defRPr b="1"/>
                </a:pPr>
                <a:endParaRPr lang="en-US"/>
              </a:p>
            </c:txPr>
            <c:showLegendKey val="0"/>
            <c:showVal val="0"/>
            <c:showCatName val="1"/>
            <c:showSerName val="0"/>
            <c:showPercent val="1"/>
            <c:showBubbleSize val="0"/>
            <c:showLeaderLines val="1"/>
          </c:dLbls>
          <c:cat>
            <c:strRef>
              <c:f>Sex!$C$2:$C$3</c:f>
              <c:strCache>
                <c:ptCount val="2"/>
                <c:pt idx="0">
                  <c:v>M</c:v>
                </c:pt>
                <c:pt idx="1">
                  <c:v>F</c:v>
                </c:pt>
              </c:strCache>
            </c:strRef>
          </c:cat>
          <c:val>
            <c:numRef>
              <c:f>Sex!$D$2:$D$3</c:f>
              <c:numCache>
                <c:formatCode>General</c:formatCode>
                <c:ptCount val="2"/>
                <c:pt idx="0">
                  <c:v>3</c:v>
                </c:pt>
                <c:pt idx="1">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IN"/>
              <a:t>Bar Chart:</a:t>
            </a:r>
            <a:r>
              <a:rPr lang="en-IN" baseline="0"/>
              <a:t> Sex</a:t>
            </a:r>
            <a:endParaRPr lang="en-IN"/>
          </a:p>
        </c:rich>
      </c:tx>
      <c:overlay val="0"/>
    </c:title>
    <c:autoTitleDeleted val="0"/>
    <c:plotArea>
      <c:layout/>
      <c:barChart>
        <c:barDir val="col"/>
        <c:grouping val="clustered"/>
        <c:varyColors val="0"/>
        <c:ser>
          <c:idx val="0"/>
          <c:order val="0"/>
          <c:tx>
            <c:strRef>
              <c:f>Sex!$D$1</c:f>
              <c:strCache>
                <c:ptCount val="1"/>
                <c:pt idx="0">
                  <c:v>Frequency</c:v>
                </c:pt>
              </c:strCache>
            </c:strRef>
          </c:tx>
          <c:invertIfNegative val="0"/>
          <c:cat>
            <c:strRef>
              <c:f>Sex!$C$2:$C$3</c:f>
              <c:strCache>
                <c:ptCount val="2"/>
                <c:pt idx="0">
                  <c:v>M</c:v>
                </c:pt>
                <c:pt idx="1">
                  <c:v>F</c:v>
                </c:pt>
              </c:strCache>
            </c:strRef>
          </c:cat>
          <c:val>
            <c:numRef>
              <c:f>Sex!$D$2:$D$3</c:f>
              <c:numCache>
                <c:formatCode>General</c:formatCode>
                <c:ptCount val="2"/>
                <c:pt idx="0">
                  <c:v>3</c:v>
                </c:pt>
                <c:pt idx="1">
                  <c:v>6</c:v>
                </c:pt>
              </c:numCache>
            </c:numRef>
          </c:val>
        </c:ser>
        <c:dLbls>
          <c:showLegendKey val="0"/>
          <c:showVal val="0"/>
          <c:showCatName val="0"/>
          <c:showSerName val="0"/>
          <c:showPercent val="0"/>
          <c:showBubbleSize val="0"/>
        </c:dLbls>
        <c:gapWidth val="150"/>
        <c:axId val="136286976"/>
        <c:axId val="136288512"/>
      </c:barChart>
      <c:catAx>
        <c:axId val="136286976"/>
        <c:scaling>
          <c:orientation val="minMax"/>
        </c:scaling>
        <c:delete val="0"/>
        <c:axPos val="b"/>
        <c:majorTickMark val="none"/>
        <c:minorTickMark val="none"/>
        <c:tickLblPos val="nextTo"/>
        <c:txPr>
          <a:bodyPr/>
          <a:lstStyle/>
          <a:p>
            <a:pPr>
              <a:defRPr b="1"/>
            </a:pPr>
            <a:endParaRPr lang="en-US"/>
          </a:p>
        </c:txPr>
        <c:crossAx val="136288512"/>
        <c:crosses val="autoZero"/>
        <c:auto val="1"/>
        <c:lblAlgn val="ctr"/>
        <c:lblOffset val="100"/>
        <c:noMultiLvlLbl val="0"/>
      </c:catAx>
      <c:valAx>
        <c:axId val="136288512"/>
        <c:scaling>
          <c:orientation val="minMax"/>
        </c:scaling>
        <c:delete val="0"/>
        <c:axPos val="l"/>
        <c:majorGridlines/>
        <c:numFmt formatCode="General" sourceLinked="1"/>
        <c:majorTickMark val="none"/>
        <c:minorTickMark val="none"/>
        <c:tickLblPos val="nextTo"/>
        <c:txPr>
          <a:bodyPr/>
          <a:lstStyle/>
          <a:p>
            <a:pPr>
              <a:defRPr b="1"/>
            </a:pPr>
            <a:endParaRPr lang="en-US"/>
          </a:p>
        </c:txPr>
        <c:crossAx val="136286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en-IN"/>
              <a:t>Histogram</a:t>
            </a:r>
          </a:p>
        </c:rich>
      </c:tx>
      <c:overlay val="0"/>
    </c:title>
    <c:autoTitleDeleted val="0"/>
    <c:plotArea>
      <c:layout/>
      <c:barChart>
        <c:barDir val="col"/>
        <c:grouping val="clustered"/>
        <c:varyColors val="0"/>
        <c:ser>
          <c:idx val="0"/>
          <c:order val="0"/>
          <c:invertIfNegative val="0"/>
          <c:cat>
            <c:numRef>
              <c:f>Output!$B$6:$B$12</c:f>
              <c:numCache>
                <c:formatCode>#,##0\ ;\-#,##0\ </c:formatCode>
                <c:ptCount val="7"/>
                <c:pt idx="0">
                  <c:v>9</c:v>
                </c:pt>
                <c:pt idx="1">
                  <c:v>10</c:v>
                </c:pt>
                <c:pt idx="2">
                  <c:v>11</c:v>
                </c:pt>
                <c:pt idx="3">
                  <c:v>12</c:v>
                </c:pt>
                <c:pt idx="4">
                  <c:v>13</c:v>
                </c:pt>
                <c:pt idx="5">
                  <c:v>14</c:v>
                </c:pt>
                <c:pt idx="6" formatCode=";;;">
                  <c:v>14.99</c:v>
                </c:pt>
              </c:numCache>
            </c:numRef>
          </c:cat>
          <c:val>
            <c:numRef>
              <c:f>Output!$H$6:$H$12</c:f>
              <c:numCache>
                <c:formatCode>0.0\ \ \ </c:formatCode>
                <c:ptCount val="7"/>
                <c:pt idx="0">
                  <c:v>11.111111111111105</c:v>
                </c:pt>
                <c:pt idx="1">
                  <c:v>33.333333333333329</c:v>
                </c:pt>
                <c:pt idx="2">
                  <c:v>22.222222222222207</c:v>
                </c:pt>
                <c:pt idx="3">
                  <c:v>11.111111111111105</c:v>
                </c:pt>
                <c:pt idx="4">
                  <c:v>11.111111111111105</c:v>
                </c:pt>
                <c:pt idx="5">
                  <c:v>11.111111111111105</c:v>
                </c:pt>
              </c:numCache>
            </c:numRef>
          </c:val>
        </c:ser>
        <c:dLbls>
          <c:showLegendKey val="0"/>
          <c:showVal val="0"/>
          <c:showCatName val="0"/>
          <c:showSerName val="0"/>
          <c:showPercent val="0"/>
          <c:showBubbleSize val="0"/>
        </c:dLbls>
        <c:gapWidth val="0"/>
        <c:axId val="136370048"/>
        <c:axId val="136581120"/>
      </c:barChart>
      <c:catAx>
        <c:axId val="136370048"/>
        <c:scaling>
          <c:orientation val="minMax"/>
        </c:scaling>
        <c:delete val="0"/>
        <c:axPos val="b"/>
        <c:title>
          <c:tx>
            <c:rich>
              <a:bodyPr/>
              <a:lstStyle/>
              <a:p>
                <a:pPr>
                  <a:defRPr/>
                </a:pPr>
                <a:r>
                  <a:rPr lang="en-IN"/>
                  <a:t>Age</a:t>
                </a:r>
              </a:p>
            </c:rich>
          </c:tx>
          <c:overlay val="0"/>
        </c:title>
        <c:numFmt formatCode="#,##0\ ;\-#,##0\ " sourceLinked="0"/>
        <c:majorTickMark val="none"/>
        <c:minorTickMark val="none"/>
        <c:tickLblPos val="nextTo"/>
        <c:txPr>
          <a:bodyPr rot="-2700000" vert="horz"/>
          <a:lstStyle/>
          <a:p>
            <a:pPr>
              <a:defRPr b="1"/>
            </a:pPr>
            <a:endParaRPr lang="en-US"/>
          </a:p>
        </c:txPr>
        <c:crossAx val="136581120"/>
        <c:crosses val="autoZero"/>
        <c:auto val="1"/>
        <c:lblAlgn val="ctr"/>
        <c:lblOffset val="100"/>
        <c:noMultiLvlLbl val="0"/>
      </c:catAx>
      <c:valAx>
        <c:axId val="136581120"/>
        <c:scaling>
          <c:orientation val="minMax"/>
        </c:scaling>
        <c:delete val="0"/>
        <c:axPos val="l"/>
        <c:title>
          <c:tx>
            <c:rich>
              <a:bodyPr/>
              <a:lstStyle/>
              <a:p>
                <a:pPr>
                  <a:defRPr/>
                </a:pPr>
                <a:r>
                  <a:rPr lang="en-IN"/>
                  <a:t>Percent</a:t>
                </a:r>
              </a:p>
            </c:rich>
          </c:tx>
          <c:overlay val="0"/>
        </c:title>
        <c:numFmt formatCode="0" sourceLinked="0"/>
        <c:majorTickMark val="out"/>
        <c:minorTickMark val="none"/>
        <c:tickLblPos val="nextTo"/>
        <c:txPr>
          <a:bodyPr/>
          <a:lstStyle/>
          <a:p>
            <a:pPr>
              <a:defRPr b="1"/>
            </a:pPr>
            <a:endParaRPr lang="en-US"/>
          </a:p>
        </c:txPr>
        <c:crossAx val="1363700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IN"/>
              <a:t>Pie Chart:</a:t>
            </a:r>
            <a:r>
              <a:rPr lang="en-IN" baseline="0"/>
              <a:t> Ethnicity</a:t>
            </a:r>
            <a:endParaRPr lang="en-IN"/>
          </a:p>
        </c:rich>
      </c:tx>
      <c:overlay val="0"/>
    </c:title>
    <c:autoTitleDeleted val="0"/>
    <c:plotArea>
      <c:layout/>
      <c:pieChart>
        <c:varyColors val="1"/>
        <c:ser>
          <c:idx val="0"/>
          <c:order val="0"/>
          <c:tx>
            <c:strRef>
              <c:f>Ethnicity!$D$1</c:f>
              <c:strCache>
                <c:ptCount val="1"/>
                <c:pt idx="0">
                  <c:v>Frequency</c:v>
                </c:pt>
              </c:strCache>
            </c:strRef>
          </c:tx>
          <c:dLbls>
            <c:txPr>
              <a:bodyPr/>
              <a:lstStyle/>
              <a:p>
                <a:pPr>
                  <a:defRPr b="1"/>
                </a:pPr>
                <a:endParaRPr lang="en-US"/>
              </a:p>
            </c:txPr>
            <c:showLegendKey val="0"/>
            <c:showVal val="0"/>
            <c:showCatName val="1"/>
            <c:showSerName val="0"/>
            <c:showPercent val="1"/>
            <c:showBubbleSize val="0"/>
            <c:showLeaderLines val="1"/>
          </c:dLbls>
          <c:cat>
            <c:strRef>
              <c:f>Ethnicity!$C$2:$C$4</c:f>
              <c:strCache>
                <c:ptCount val="3"/>
                <c:pt idx="0">
                  <c:v>African American</c:v>
                </c:pt>
                <c:pt idx="1">
                  <c:v>Caucasian</c:v>
                </c:pt>
                <c:pt idx="2">
                  <c:v>Latino</c:v>
                </c:pt>
              </c:strCache>
            </c:strRef>
          </c:cat>
          <c:val>
            <c:numRef>
              <c:f>Ethnicity!$D$2:$D$4</c:f>
              <c:numCache>
                <c:formatCode>General</c:formatCode>
                <c:ptCount val="3"/>
                <c:pt idx="0">
                  <c:v>3</c:v>
                </c:pt>
                <c:pt idx="1">
                  <c:v>4</c:v>
                </c:pt>
                <c:pt idx="2">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Bar Chart: Ethinicity</a:t>
            </a:r>
          </a:p>
        </c:rich>
      </c:tx>
      <c:overlay val="0"/>
    </c:title>
    <c:autoTitleDeleted val="0"/>
    <c:plotArea>
      <c:layout/>
      <c:barChart>
        <c:barDir val="col"/>
        <c:grouping val="clustered"/>
        <c:varyColors val="0"/>
        <c:ser>
          <c:idx val="0"/>
          <c:order val="0"/>
          <c:tx>
            <c:strRef>
              <c:f>Ethnicity!$D$1</c:f>
              <c:strCache>
                <c:ptCount val="1"/>
                <c:pt idx="0">
                  <c:v>Frequency</c:v>
                </c:pt>
              </c:strCache>
            </c:strRef>
          </c:tx>
          <c:invertIfNegative val="0"/>
          <c:cat>
            <c:strRef>
              <c:f>Ethnicity!$C$2:$C$4</c:f>
              <c:strCache>
                <c:ptCount val="3"/>
                <c:pt idx="0">
                  <c:v>African American</c:v>
                </c:pt>
                <c:pt idx="1">
                  <c:v>Caucasian</c:v>
                </c:pt>
                <c:pt idx="2">
                  <c:v>Latino</c:v>
                </c:pt>
              </c:strCache>
            </c:strRef>
          </c:cat>
          <c:val>
            <c:numRef>
              <c:f>Ethnicity!$D$2:$D$4</c:f>
              <c:numCache>
                <c:formatCode>General</c:formatCode>
                <c:ptCount val="3"/>
                <c:pt idx="0">
                  <c:v>3</c:v>
                </c:pt>
                <c:pt idx="1">
                  <c:v>4</c:v>
                </c:pt>
                <c:pt idx="2">
                  <c:v>2</c:v>
                </c:pt>
              </c:numCache>
            </c:numRef>
          </c:val>
        </c:ser>
        <c:dLbls>
          <c:showLegendKey val="0"/>
          <c:showVal val="0"/>
          <c:showCatName val="0"/>
          <c:showSerName val="0"/>
          <c:showPercent val="0"/>
          <c:showBubbleSize val="0"/>
        </c:dLbls>
        <c:gapWidth val="150"/>
        <c:axId val="136632192"/>
        <c:axId val="136633728"/>
      </c:barChart>
      <c:catAx>
        <c:axId val="136632192"/>
        <c:scaling>
          <c:orientation val="minMax"/>
        </c:scaling>
        <c:delete val="0"/>
        <c:axPos val="b"/>
        <c:majorTickMark val="out"/>
        <c:minorTickMark val="none"/>
        <c:tickLblPos val="nextTo"/>
        <c:txPr>
          <a:bodyPr/>
          <a:lstStyle/>
          <a:p>
            <a:pPr>
              <a:defRPr b="1"/>
            </a:pPr>
            <a:endParaRPr lang="en-US"/>
          </a:p>
        </c:txPr>
        <c:crossAx val="136633728"/>
        <c:crosses val="autoZero"/>
        <c:auto val="1"/>
        <c:lblAlgn val="ctr"/>
        <c:lblOffset val="100"/>
        <c:noMultiLvlLbl val="0"/>
      </c:catAx>
      <c:valAx>
        <c:axId val="136633728"/>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366321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IN"/>
              <a:t>Histogram</a:t>
            </a:r>
          </a:p>
        </c:rich>
      </c:tx>
      <c:overlay val="0"/>
    </c:title>
    <c:autoTitleDeleted val="0"/>
    <c:plotArea>
      <c:layout/>
      <c:barChart>
        <c:barDir val="col"/>
        <c:grouping val="clustered"/>
        <c:varyColors val="0"/>
        <c:ser>
          <c:idx val="0"/>
          <c:order val="0"/>
          <c:invertIfNegative val="0"/>
          <c:cat>
            <c:numRef>
              <c:f>Output!$B$41:$B$48</c:f>
              <c:numCache>
                <c:formatCode>#,##0\ ;\-#,##0\ </c:formatCode>
                <c:ptCount val="8"/>
                <c:pt idx="0">
                  <c:v>20</c:v>
                </c:pt>
                <c:pt idx="1">
                  <c:v>21</c:v>
                </c:pt>
                <c:pt idx="2">
                  <c:v>22</c:v>
                </c:pt>
                <c:pt idx="3">
                  <c:v>23</c:v>
                </c:pt>
                <c:pt idx="4">
                  <c:v>24</c:v>
                </c:pt>
                <c:pt idx="5">
                  <c:v>25</c:v>
                </c:pt>
                <c:pt idx="6">
                  <c:v>26</c:v>
                </c:pt>
                <c:pt idx="7" formatCode=";;;">
                  <c:v>26.99</c:v>
                </c:pt>
              </c:numCache>
            </c:numRef>
          </c:cat>
          <c:val>
            <c:numRef>
              <c:f>Output!$H$41:$H$48</c:f>
              <c:numCache>
                <c:formatCode>0.0\ \ \ </c:formatCode>
                <c:ptCount val="8"/>
                <c:pt idx="0">
                  <c:v>11.111111111111105</c:v>
                </c:pt>
                <c:pt idx="1">
                  <c:v>11.111111111111105</c:v>
                </c:pt>
                <c:pt idx="2">
                  <c:v>33.333333333333329</c:v>
                </c:pt>
                <c:pt idx="3">
                  <c:v>11.111111111111105</c:v>
                </c:pt>
                <c:pt idx="4">
                  <c:v>0</c:v>
                </c:pt>
                <c:pt idx="5">
                  <c:v>11.111111111111105</c:v>
                </c:pt>
                <c:pt idx="6">
                  <c:v>22.222222222222207</c:v>
                </c:pt>
              </c:numCache>
            </c:numRef>
          </c:val>
        </c:ser>
        <c:dLbls>
          <c:showLegendKey val="0"/>
          <c:showVal val="0"/>
          <c:showCatName val="0"/>
          <c:showSerName val="0"/>
          <c:showPercent val="0"/>
          <c:showBubbleSize val="0"/>
        </c:dLbls>
        <c:gapWidth val="0"/>
        <c:axId val="136625152"/>
        <c:axId val="137008256"/>
      </c:barChart>
      <c:catAx>
        <c:axId val="136625152"/>
        <c:scaling>
          <c:orientation val="minMax"/>
        </c:scaling>
        <c:delete val="0"/>
        <c:axPos val="b"/>
        <c:title>
          <c:tx>
            <c:rich>
              <a:bodyPr/>
              <a:lstStyle/>
              <a:p>
                <a:pPr>
                  <a:defRPr/>
                </a:pPr>
                <a:r>
                  <a:rPr lang="en-IN"/>
                  <a:t>Pre-RCMAS</a:t>
                </a:r>
              </a:p>
            </c:rich>
          </c:tx>
          <c:overlay val="0"/>
        </c:title>
        <c:numFmt formatCode="#,##0\ ;\-#,##0\ " sourceLinked="0"/>
        <c:majorTickMark val="none"/>
        <c:minorTickMark val="none"/>
        <c:tickLblPos val="nextTo"/>
        <c:txPr>
          <a:bodyPr rot="-2700000" vert="horz"/>
          <a:lstStyle/>
          <a:p>
            <a:pPr>
              <a:defRPr b="1"/>
            </a:pPr>
            <a:endParaRPr lang="en-US"/>
          </a:p>
        </c:txPr>
        <c:crossAx val="137008256"/>
        <c:crosses val="autoZero"/>
        <c:auto val="1"/>
        <c:lblAlgn val="ctr"/>
        <c:lblOffset val="100"/>
        <c:noMultiLvlLbl val="0"/>
      </c:catAx>
      <c:valAx>
        <c:axId val="137008256"/>
        <c:scaling>
          <c:orientation val="minMax"/>
        </c:scaling>
        <c:delete val="0"/>
        <c:axPos val="l"/>
        <c:title>
          <c:tx>
            <c:rich>
              <a:bodyPr/>
              <a:lstStyle/>
              <a:p>
                <a:pPr>
                  <a:defRPr/>
                </a:pPr>
                <a:r>
                  <a:rPr lang="en-IN"/>
                  <a:t>Percent</a:t>
                </a:r>
              </a:p>
            </c:rich>
          </c:tx>
          <c:overlay val="0"/>
        </c:title>
        <c:numFmt formatCode="0" sourceLinked="0"/>
        <c:majorTickMark val="out"/>
        <c:minorTickMark val="none"/>
        <c:tickLblPos val="nextTo"/>
        <c:txPr>
          <a:bodyPr/>
          <a:lstStyle/>
          <a:p>
            <a:pPr>
              <a:defRPr b="1"/>
            </a:pPr>
            <a:endParaRPr lang="en-US"/>
          </a:p>
        </c:txPr>
        <c:crossAx val="136625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Lunch Boxx</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mee-chong</cp:lastModifiedBy>
  <cp:revision>2</cp:revision>
  <dcterms:created xsi:type="dcterms:W3CDTF">2013-01-05T18:14:00Z</dcterms:created>
  <dcterms:modified xsi:type="dcterms:W3CDTF">2013-01-05T18:14:00Z</dcterms:modified>
</cp:coreProperties>
</file>