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DF" w:rsidRDefault="004953DF" w:rsidP="00344110">
      <w:r>
        <w:t>Dr. Susan, need help with the following assignment.</w:t>
      </w:r>
    </w:p>
    <w:p w:rsidR="00344110" w:rsidRPr="00344110" w:rsidRDefault="00344110" w:rsidP="00344110">
      <w:r w:rsidRPr="00344110">
        <w:t xml:space="preserve">Mrs. Smith is a 70-year-old and hospitalized for a </w:t>
      </w:r>
      <w:r w:rsidRPr="00344110">
        <w:rPr>
          <w:b/>
          <w:bCs/>
        </w:rPr>
        <w:t xml:space="preserve">Kidney Transplant </w:t>
      </w:r>
      <w:r w:rsidRPr="00344110">
        <w:t>procedure</w:t>
      </w:r>
      <w:r w:rsidRPr="00344110">
        <w:rPr>
          <w:b/>
          <w:bCs/>
        </w:rPr>
        <w:t>.</w:t>
      </w:r>
      <w:r w:rsidRPr="00344110">
        <w:t>  General Hospital is a large urban hospital in San Francisco that incurred $150,000 in Medicare approved charges in treating Mrs. Smith. </w:t>
      </w:r>
      <w:r w:rsidRPr="00344110">
        <w:rPr>
          <w:i/>
          <w:iCs/>
        </w:rPr>
        <w:t>Please use the information provided in this module as well as the </w:t>
      </w:r>
      <w:r w:rsidRPr="00344110">
        <w:rPr>
          <w:b/>
          <w:bCs/>
          <w:i/>
          <w:iCs/>
        </w:rPr>
        <w:t>Hospital Payments Example</w:t>
      </w:r>
      <w:r w:rsidRPr="00344110">
        <w:rPr>
          <w:i/>
          <w:iCs/>
        </w:rPr>
        <w:t xml:space="preserve">, which can be found in </w:t>
      </w:r>
      <w:r w:rsidR="004953DF">
        <w:rPr>
          <w:b/>
          <w:bCs/>
          <w:iCs/>
          <w:u w:val="single"/>
        </w:rPr>
        <w:t>the background introduction</w:t>
      </w:r>
      <w:r w:rsidRPr="004953DF">
        <w:rPr>
          <w:b/>
          <w:bCs/>
          <w:iCs/>
          <w:u w:val="single"/>
        </w:rPr>
        <w:t xml:space="preserve"> section</w:t>
      </w:r>
      <w:r w:rsidRPr="004953DF">
        <w:rPr>
          <w:iCs/>
        </w:rPr>
        <w:t>,</w:t>
      </w:r>
      <w:r w:rsidRPr="00344110">
        <w:rPr>
          <w:i/>
          <w:iCs/>
        </w:rPr>
        <w:t xml:space="preserve"> to answer the following questions</w:t>
      </w:r>
      <w:r w:rsidRPr="00344110">
        <w:t xml:space="preserve">. </w:t>
      </w:r>
      <w:proofErr w:type="gramStart"/>
      <w:r w:rsidRPr="00344110">
        <w:rPr>
          <w:u w:val="single"/>
        </w:rPr>
        <w:t>include</w:t>
      </w:r>
      <w:proofErr w:type="gramEnd"/>
      <w:r w:rsidRPr="00344110">
        <w:rPr>
          <w:u w:val="single"/>
        </w:rPr>
        <w:t xml:space="preserve"> all formulas and calculations in your paper</w:t>
      </w:r>
      <w:r w:rsidRPr="00344110">
        <w:t>.</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5"/>
        <w:gridCol w:w="4827"/>
        <w:gridCol w:w="2324"/>
      </w:tblGrid>
      <w:tr w:rsidR="00344110" w:rsidRPr="00344110" w:rsidTr="00344110">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DRG</w:t>
            </w:r>
          </w:p>
        </w:tc>
        <w:tc>
          <w:tcPr>
            <w:tcW w:w="200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Description</w:t>
            </w:r>
          </w:p>
        </w:tc>
        <w:tc>
          <w:tcPr>
            <w:tcW w:w="95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Case Weight</w:t>
            </w:r>
          </w:p>
        </w:tc>
      </w:tr>
      <w:tr w:rsidR="00344110" w:rsidRPr="00344110" w:rsidTr="00344110">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115</w:t>
            </w:r>
          </w:p>
        </w:tc>
        <w:tc>
          <w:tcPr>
            <w:tcW w:w="200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Permanent Cardiac Pacemaker</w:t>
            </w:r>
          </w:p>
        </w:tc>
        <w:tc>
          <w:tcPr>
            <w:tcW w:w="95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3.5513</w:t>
            </w:r>
          </w:p>
        </w:tc>
      </w:tr>
      <w:tr w:rsidR="00344110" w:rsidRPr="00344110" w:rsidTr="00344110">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F74AD" w:rsidRPr="009271E3" w:rsidRDefault="00344110" w:rsidP="00344110">
            <w:pPr>
              <w:rPr>
                <w:b/>
              </w:rPr>
            </w:pPr>
            <w:r w:rsidRPr="009271E3">
              <w:rPr>
                <w:b/>
              </w:rPr>
              <w:t>302</w:t>
            </w:r>
          </w:p>
        </w:tc>
        <w:tc>
          <w:tcPr>
            <w:tcW w:w="2000" w:type="pct"/>
            <w:tcBorders>
              <w:top w:val="outset" w:sz="6" w:space="0" w:color="auto"/>
              <w:left w:val="outset" w:sz="6" w:space="0" w:color="auto"/>
              <w:bottom w:val="outset" w:sz="6" w:space="0" w:color="auto"/>
              <w:right w:val="outset" w:sz="6" w:space="0" w:color="auto"/>
            </w:tcBorders>
            <w:hideMark/>
          </w:tcPr>
          <w:p w:rsidR="00EF74AD" w:rsidRPr="009271E3" w:rsidRDefault="00344110" w:rsidP="00344110">
            <w:pPr>
              <w:rPr>
                <w:b/>
              </w:rPr>
            </w:pPr>
            <w:r w:rsidRPr="009271E3">
              <w:rPr>
                <w:b/>
              </w:rPr>
              <w:t>Kidney Transplant</w:t>
            </w:r>
          </w:p>
        </w:tc>
        <w:tc>
          <w:tcPr>
            <w:tcW w:w="950" w:type="pct"/>
            <w:tcBorders>
              <w:top w:val="outset" w:sz="6" w:space="0" w:color="auto"/>
              <w:left w:val="outset" w:sz="6" w:space="0" w:color="auto"/>
              <w:bottom w:val="outset" w:sz="6" w:space="0" w:color="auto"/>
              <w:right w:val="outset" w:sz="6" w:space="0" w:color="auto"/>
            </w:tcBorders>
            <w:hideMark/>
          </w:tcPr>
          <w:p w:rsidR="00EF74AD" w:rsidRPr="009271E3" w:rsidRDefault="00344110" w:rsidP="00344110">
            <w:pPr>
              <w:rPr>
                <w:b/>
              </w:rPr>
            </w:pPr>
            <w:r w:rsidRPr="009271E3">
              <w:rPr>
                <w:b/>
              </w:rPr>
              <w:t>4.1370</w:t>
            </w:r>
          </w:p>
        </w:tc>
      </w:tr>
      <w:tr w:rsidR="00344110" w:rsidRPr="00344110" w:rsidTr="00344110">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441</w:t>
            </w:r>
          </w:p>
        </w:tc>
        <w:tc>
          <w:tcPr>
            <w:tcW w:w="200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Hand Procedure/Surgery</w:t>
            </w:r>
          </w:p>
        </w:tc>
        <w:tc>
          <w:tcPr>
            <w:tcW w:w="950" w:type="pct"/>
            <w:tcBorders>
              <w:top w:val="outset" w:sz="6" w:space="0" w:color="auto"/>
              <w:left w:val="outset" w:sz="6" w:space="0" w:color="auto"/>
              <w:bottom w:val="outset" w:sz="6" w:space="0" w:color="auto"/>
              <w:right w:val="outset" w:sz="6" w:space="0" w:color="auto"/>
            </w:tcBorders>
            <w:hideMark/>
          </w:tcPr>
          <w:p w:rsidR="00EF74AD" w:rsidRPr="00344110" w:rsidRDefault="00344110" w:rsidP="00344110">
            <w:r w:rsidRPr="00344110">
              <w:t>0.8785</w:t>
            </w:r>
          </w:p>
        </w:tc>
      </w:tr>
    </w:tbl>
    <w:p w:rsidR="00C67EA5" w:rsidRDefault="00C67EA5" w:rsidP="00344110"/>
    <w:p w:rsidR="00344110" w:rsidRPr="00C67EA5" w:rsidRDefault="00344110" w:rsidP="00344110">
      <w:pPr>
        <w:rPr>
          <w:b/>
        </w:rPr>
      </w:pPr>
      <w:r w:rsidRPr="00C67EA5">
        <w:rPr>
          <w:b/>
        </w:rPr>
        <w:t xml:space="preserve">Please answer the following questions for Kidney Transplant </w:t>
      </w:r>
      <w:r w:rsidRPr="00C67EA5">
        <w:rPr>
          <w:b/>
          <w:bCs/>
        </w:rPr>
        <w:t>ONLY</w:t>
      </w:r>
      <w:r w:rsidRPr="00C67EA5">
        <w:rPr>
          <w:b/>
        </w:rPr>
        <w:t>:</w:t>
      </w:r>
    </w:p>
    <w:p w:rsidR="00344110" w:rsidRPr="00C67EA5" w:rsidRDefault="00344110" w:rsidP="00344110">
      <w:pPr>
        <w:numPr>
          <w:ilvl w:val="0"/>
          <w:numId w:val="1"/>
        </w:numPr>
        <w:rPr>
          <w:b/>
        </w:rPr>
      </w:pPr>
      <w:r w:rsidRPr="00C67EA5">
        <w:rPr>
          <w:b/>
        </w:rPr>
        <w:t xml:space="preserve">What is the operating payment to be paid to the hospital? </w:t>
      </w:r>
    </w:p>
    <w:p w:rsidR="00344110" w:rsidRPr="00C67EA5" w:rsidRDefault="00344110" w:rsidP="00344110">
      <w:pPr>
        <w:numPr>
          <w:ilvl w:val="0"/>
          <w:numId w:val="1"/>
        </w:numPr>
        <w:rPr>
          <w:b/>
        </w:rPr>
      </w:pPr>
      <w:r w:rsidRPr="00C67EA5">
        <w:rPr>
          <w:b/>
        </w:rPr>
        <w:t xml:space="preserve">What is the capital payment to be paid to the hospital? </w:t>
      </w:r>
    </w:p>
    <w:p w:rsidR="00344110" w:rsidRPr="00C67EA5" w:rsidRDefault="00344110" w:rsidP="00344110">
      <w:pPr>
        <w:numPr>
          <w:ilvl w:val="0"/>
          <w:numId w:val="1"/>
        </w:numPr>
        <w:rPr>
          <w:b/>
        </w:rPr>
      </w:pPr>
      <w:r w:rsidRPr="00C67EA5">
        <w:rPr>
          <w:b/>
        </w:rPr>
        <w:t xml:space="preserve">Will the hospital be eligible for the Medicare outlier payment? </w:t>
      </w:r>
    </w:p>
    <w:p w:rsidR="00344110" w:rsidRPr="00C67EA5" w:rsidRDefault="00344110" w:rsidP="00344110">
      <w:pPr>
        <w:numPr>
          <w:ilvl w:val="0"/>
          <w:numId w:val="1"/>
        </w:numPr>
        <w:rPr>
          <w:b/>
        </w:rPr>
      </w:pPr>
      <w:r w:rsidRPr="00C67EA5">
        <w:rPr>
          <w:b/>
        </w:rPr>
        <w:t xml:space="preserve">What is the total payment to the hospital? </w:t>
      </w:r>
    </w:p>
    <w:p w:rsidR="00ED35D3" w:rsidRPr="00C67EA5" w:rsidRDefault="00C67EA5" w:rsidP="00ED35D3">
      <w:pPr>
        <w:pStyle w:val="ListParagraph"/>
        <w:shd w:val="clear" w:color="auto" w:fill="FFFFFF"/>
        <w:spacing w:before="100" w:beforeAutospacing="1" w:after="100" w:afterAutospacing="1" w:line="240" w:lineRule="auto"/>
        <w:ind w:right="322"/>
        <w:rPr>
          <w:rFonts w:ascii="Verdana" w:eastAsia="Times New Roman" w:hAnsi="Verdana" w:cs="Times New Roman"/>
          <w:bCs/>
          <w:color w:val="000000"/>
          <w:sz w:val="20"/>
          <w:u w:val="single"/>
        </w:rPr>
      </w:pPr>
      <w:r w:rsidRPr="00C67EA5">
        <w:rPr>
          <w:rFonts w:ascii="Verdana" w:eastAsia="Times New Roman" w:hAnsi="Verdana" w:cs="Times New Roman"/>
          <w:bCs/>
          <w:color w:val="000000"/>
          <w:sz w:val="20"/>
          <w:u w:val="single"/>
        </w:rPr>
        <w:t xml:space="preserve">Background </w:t>
      </w:r>
      <w:proofErr w:type="spellStart"/>
      <w:r w:rsidRPr="00C67EA5">
        <w:rPr>
          <w:rFonts w:ascii="Verdana" w:eastAsia="Times New Roman" w:hAnsi="Verdana" w:cs="Times New Roman"/>
          <w:bCs/>
          <w:color w:val="000000"/>
          <w:sz w:val="20"/>
          <w:u w:val="single"/>
        </w:rPr>
        <w:t>intoduction</w:t>
      </w:r>
      <w:proofErr w:type="spellEnd"/>
      <w:r w:rsidR="00ED35D3" w:rsidRPr="00C67EA5">
        <w:rPr>
          <w:rFonts w:ascii="Verdana" w:eastAsia="Times New Roman" w:hAnsi="Verdana" w:cs="Times New Roman"/>
          <w:bCs/>
          <w:color w:val="000000"/>
          <w:sz w:val="20"/>
          <w:u w:val="single"/>
        </w:rPr>
        <w:t>:</w:t>
      </w:r>
    </w:p>
    <w:p w:rsidR="00C67EA5" w:rsidRPr="00ED35D3" w:rsidRDefault="00C67EA5" w:rsidP="00ED35D3">
      <w:pPr>
        <w:pStyle w:val="ListParagraph"/>
        <w:shd w:val="clear" w:color="auto" w:fill="FFFFFF"/>
        <w:spacing w:before="100" w:beforeAutospacing="1" w:after="100" w:afterAutospacing="1" w:line="240" w:lineRule="auto"/>
        <w:ind w:right="322"/>
        <w:rPr>
          <w:rFonts w:ascii="Verdana" w:eastAsia="Times New Roman" w:hAnsi="Verdana" w:cs="Times New Roman"/>
          <w:color w:val="000000"/>
          <w:sz w:val="20"/>
          <w:szCs w:val="20"/>
        </w:rPr>
      </w:pPr>
    </w:p>
    <w:p w:rsidR="00ED35D3" w:rsidRPr="00ED35D3" w:rsidRDefault="00ED35D3" w:rsidP="00ED35D3">
      <w:pPr>
        <w:pStyle w:val="ListParagraph"/>
        <w:numPr>
          <w:ilvl w:val="0"/>
          <w:numId w:val="1"/>
        </w:numPr>
        <w:shd w:val="clear" w:color="auto" w:fill="FFFFFF"/>
        <w:spacing w:before="100" w:beforeAutospacing="1" w:after="100" w:afterAutospacing="1" w:line="240" w:lineRule="auto"/>
        <w:ind w:right="322"/>
        <w:rPr>
          <w:rFonts w:ascii="Verdana" w:eastAsia="Times New Roman" w:hAnsi="Verdana" w:cs="Times New Roman"/>
          <w:color w:val="000000"/>
          <w:sz w:val="20"/>
          <w:szCs w:val="20"/>
        </w:rPr>
      </w:pPr>
      <w:r w:rsidRPr="00ED35D3">
        <w:rPr>
          <w:rFonts w:ascii="Verdana" w:eastAsia="Times New Roman" w:hAnsi="Verdana" w:cs="Times New Roman"/>
          <w:color w:val="000000"/>
          <w:sz w:val="20"/>
          <w:szCs w:val="20"/>
        </w:rPr>
        <w:t xml:space="preserve">Many private and public payers reimburse hospital inpatient services based on a predetermined, fixed amount for a particular service. The payment amount is derived based on the classification system of that service (for example, diagnosis-related groups). </w:t>
      </w:r>
      <w:proofErr w:type="spellStart"/>
      <w:r w:rsidRPr="00ED35D3">
        <w:rPr>
          <w:rFonts w:ascii="Verdana" w:eastAsia="Times New Roman" w:hAnsi="Verdana" w:cs="Times New Roman"/>
          <w:color w:val="000000"/>
          <w:sz w:val="20"/>
          <w:szCs w:val="20"/>
        </w:rPr>
        <w:t>Meicare</w:t>
      </w:r>
      <w:proofErr w:type="spellEnd"/>
      <w:r w:rsidRPr="00ED35D3">
        <w:rPr>
          <w:rFonts w:ascii="Verdana" w:eastAsia="Times New Roman" w:hAnsi="Verdana" w:cs="Times New Roman"/>
          <w:color w:val="000000"/>
          <w:sz w:val="20"/>
          <w:szCs w:val="20"/>
        </w:rPr>
        <w:t xml:space="preserve"> as the largest public payer for health care in the United States </w:t>
      </w:r>
      <w:proofErr w:type="spellStart"/>
      <w:r w:rsidRPr="00ED35D3">
        <w:rPr>
          <w:rFonts w:ascii="Verdana" w:eastAsia="Times New Roman" w:hAnsi="Verdana" w:cs="Times New Roman"/>
          <w:color w:val="000000"/>
          <w:sz w:val="20"/>
          <w:szCs w:val="20"/>
        </w:rPr>
        <w:t>reimbuses</w:t>
      </w:r>
      <w:proofErr w:type="spellEnd"/>
      <w:r w:rsidRPr="00ED35D3">
        <w:rPr>
          <w:rFonts w:ascii="Verdana" w:eastAsia="Times New Roman" w:hAnsi="Verdana" w:cs="Times New Roman"/>
          <w:color w:val="000000"/>
          <w:sz w:val="20"/>
          <w:szCs w:val="20"/>
        </w:rPr>
        <w:t xml:space="preserve"> hospital inpatient services through this type of prospective payment system. Diagnostic Related Groups (DRG) are about 500 distinct categories or groupings to classify hospital inpatient cases that are expected to have similar hospital resource use. DRGs are assigned by a "grouper" program based on diagnoses, procedures, age, sex, discharge status, and </w:t>
      </w:r>
      <w:proofErr w:type="spellStart"/>
      <w:r w:rsidRPr="00ED35D3">
        <w:rPr>
          <w:rFonts w:ascii="Verdana" w:eastAsia="Times New Roman" w:hAnsi="Verdana" w:cs="Times New Roman"/>
          <w:color w:val="000000"/>
          <w:sz w:val="20"/>
          <w:szCs w:val="20"/>
        </w:rPr>
        <w:t>comorbidities</w:t>
      </w:r>
      <w:proofErr w:type="spellEnd"/>
      <w:r w:rsidRPr="00ED35D3">
        <w:rPr>
          <w:rFonts w:ascii="Verdana" w:eastAsia="Times New Roman" w:hAnsi="Verdana" w:cs="Times New Roman"/>
          <w:color w:val="000000"/>
          <w:sz w:val="20"/>
          <w:szCs w:val="20"/>
        </w:rPr>
        <w:t xml:space="preserve">. DRGs serve as the foundation for Medicare's prospective payment system. Many private payers emulate Medicare's reimbursement system to develop their own DRG-based prospective payment system for </w:t>
      </w:r>
      <w:proofErr w:type="spellStart"/>
      <w:r w:rsidRPr="00ED35D3">
        <w:rPr>
          <w:rFonts w:ascii="Verdana" w:eastAsia="Times New Roman" w:hAnsi="Verdana" w:cs="Times New Roman"/>
          <w:color w:val="000000"/>
          <w:sz w:val="20"/>
          <w:szCs w:val="20"/>
        </w:rPr>
        <w:t>inpaitent</w:t>
      </w:r>
      <w:proofErr w:type="spellEnd"/>
      <w:r w:rsidRPr="00ED35D3">
        <w:rPr>
          <w:rFonts w:ascii="Verdana" w:eastAsia="Times New Roman" w:hAnsi="Verdana" w:cs="Times New Roman"/>
          <w:color w:val="000000"/>
          <w:sz w:val="20"/>
          <w:szCs w:val="20"/>
        </w:rPr>
        <w:t xml:space="preserve"> services. In this module, we are going to explore how Medicare calculate inpatient payment rate. Below are examples of Diagnostic-Related Groups: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
        <w:gridCol w:w="6297"/>
        <w:gridCol w:w="1373"/>
        <w:gridCol w:w="1312"/>
      </w:tblGrid>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DRG</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Description</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Case Weight</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Outlier</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001</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Craniotomy Age&gt;17 Years, Except for Trauma</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3.0932</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32</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037</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Orbital procedures</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0.8821</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26</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072</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Nasal Trauma</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0.6419</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26</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lastRenderedPageBreak/>
              <w:t>115</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Permanent Cardiac Pacemaker</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3.5513</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33</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191</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Pancreas, Liver, Shunt Procedure</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3.6598</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36</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b/>
                <w:color w:val="000000"/>
                <w:sz w:val="12"/>
                <w:szCs w:val="12"/>
              </w:rPr>
            </w:pPr>
            <w:r w:rsidRPr="00ED35D3">
              <w:rPr>
                <w:rFonts w:ascii="Verdana" w:eastAsia="Times New Roman" w:hAnsi="Verdana" w:cs="Times New Roman"/>
                <w:b/>
                <w:color w:val="000000"/>
                <w:sz w:val="12"/>
                <w:szCs w:val="12"/>
              </w:rPr>
              <w:t>302</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b/>
                <w:color w:val="000000"/>
                <w:sz w:val="12"/>
                <w:szCs w:val="12"/>
              </w:rPr>
            </w:pPr>
            <w:r w:rsidRPr="00ED35D3">
              <w:rPr>
                <w:rFonts w:ascii="Verdana" w:eastAsia="Times New Roman" w:hAnsi="Verdana" w:cs="Times New Roman"/>
                <w:b/>
                <w:color w:val="000000"/>
                <w:sz w:val="12"/>
                <w:szCs w:val="12"/>
              </w:rPr>
              <w:t>Kidney Transplant</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b/>
                <w:color w:val="000000"/>
                <w:sz w:val="12"/>
                <w:szCs w:val="12"/>
              </w:rPr>
            </w:pPr>
            <w:r w:rsidRPr="00ED35D3">
              <w:rPr>
                <w:rFonts w:ascii="Verdana" w:eastAsia="Times New Roman" w:hAnsi="Verdana" w:cs="Times New Roman"/>
                <w:b/>
                <w:color w:val="000000"/>
                <w:sz w:val="12"/>
                <w:szCs w:val="12"/>
              </w:rPr>
              <w:t>4.1370</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b/>
                <w:color w:val="000000"/>
                <w:sz w:val="12"/>
                <w:szCs w:val="12"/>
              </w:rPr>
            </w:pPr>
            <w:r w:rsidRPr="00ED35D3">
              <w:rPr>
                <w:rFonts w:ascii="Verdana" w:eastAsia="Times New Roman" w:hAnsi="Verdana" w:cs="Times New Roman"/>
                <w:b/>
                <w:color w:val="000000"/>
                <w:sz w:val="12"/>
                <w:szCs w:val="12"/>
              </w:rPr>
              <w:t>35</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418</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Post-operative infections</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0.9777</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29</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441</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Hand Procedure/Surgery</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0.8785</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25</w:t>
            </w:r>
          </w:p>
        </w:tc>
      </w:tr>
      <w:tr w:rsidR="00ED35D3" w:rsidRPr="00ED35D3" w:rsidTr="00ED35D3">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488</w:t>
            </w:r>
          </w:p>
        </w:tc>
        <w:tc>
          <w:tcPr>
            <w:tcW w:w="11670"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HIV Extensive O.R. Procedure</w:t>
            </w:r>
          </w:p>
        </w:tc>
        <w:tc>
          <w:tcPr>
            <w:tcW w:w="223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4.2177</w:t>
            </w:r>
          </w:p>
        </w:tc>
        <w:tc>
          <w:tcPr>
            <w:tcW w:w="2145" w:type="dxa"/>
            <w:tcBorders>
              <w:top w:val="outset" w:sz="6" w:space="0" w:color="auto"/>
              <w:left w:val="outset" w:sz="6" w:space="0" w:color="auto"/>
              <w:bottom w:val="outset" w:sz="6" w:space="0" w:color="auto"/>
              <w:right w:val="outset" w:sz="6" w:space="0" w:color="auto"/>
            </w:tcBorders>
            <w:vAlign w:val="center"/>
            <w:hideMark/>
          </w:tcPr>
          <w:p w:rsidR="00ED35D3" w:rsidRPr="00ED35D3" w:rsidRDefault="00ED35D3" w:rsidP="00ED35D3">
            <w:pPr>
              <w:spacing w:before="100" w:beforeAutospacing="1" w:after="100" w:afterAutospacing="1" w:line="240" w:lineRule="auto"/>
              <w:rPr>
                <w:rFonts w:ascii="Verdana" w:eastAsia="Times New Roman" w:hAnsi="Verdana" w:cs="Times New Roman"/>
                <w:color w:val="000000"/>
                <w:sz w:val="12"/>
                <w:szCs w:val="12"/>
              </w:rPr>
            </w:pPr>
            <w:r w:rsidRPr="00ED35D3">
              <w:rPr>
                <w:rFonts w:ascii="Verdana" w:eastAsia="Times New Roman" w:hAnsi="Verdana" w:cs="Times New Roman"/>
                <w:color w:val="000000"/>
                <w:sz w:val="12"/>
                <w:szCs w:val="12"/>
              </w:rPr>
              <w:t>37</w:t>
            </w:r>
          </w:p>
        </w:tc>
      </w:tr>
    </w:tbl>
    <w:p w:rsidR="00ED35D3" w:rsidRPr="00ED35D3" w:rsidRDefault="00ED35D3" w:rsidP="00ED35D3">
      <w:pPr>
        <w:pStyle w:val="ListParagraph"/>
        <w:numPr>
          <w:ilvl w:val="0"/>
          <w:numId w:val="1"/>
        </w:numPr>
        <w:shd w:val="clear" w:color="auto" w:fill="FFFFFF"/>
        <w:spacing w:before="100" w:beforeAutospacing="1" w:after="100" w:afterAutospacing="1" w:line="240" w:lineRule="auto"/>
        <w:ind w:right="322"/>
        <w:rPr>
          <w:rFonts w:ascii="Verdana" w:eastAsia="Times New Roman" w:hAnsi="Verdana" w:cs="Times New Roman"/>
          <w:color w:val="000000"/>
          <w:sz w:val="20"/>
          <w:szCs w:val="20"/>
        </w:rPr>
      </w:pPr>
      <w:r w:rsidRPr="00ED35D3">
        <w:rPr>
          <w:rFonts w:ascii="Verdana" w:eastAsia="Times New Roman" w:hAnsi="Verdana" w:cs="Times New Roman"/>
          <w:color w:val="000000"/>
          <w:sz w:val="20"/>
          <w:szCs w:val="20"/>
        </w:rPr>
        <w:t>PROSPECTIVE PAYMENT:  The Prospective category involves three elements:</w:t>
      </w:r>
    </w:p>
    <w:p w:rsidR="00ED35D3" w:rsidRPr="00ED35D3" w:rsidRDefault="00ED35D3" w:rsidP="00ED35D3">
      <w:pPr>
        <w:pStyle w:val="ListParagraph"/>
        <w:numPr>
          <w:ilvl w:val="0"/>
          <w:numId w:val="1"/>
        </w:numPr>
        <w:shd w:val="clear" w:color="auto" w:fill="FFFFFF"/>
        <w:spacing w:before="100" w:beforeAutospacing="1" w:after="100" w:afterAutospacing="1" w:line="240" w:lineRule="auto"/>
        <w:ind w:right="322"/>
        <w:rPr>
          <w:rFonts w:ascii="Verdana" w:eastAsia="Times New Roman" w:hAnsi="Verdana" w:cs="Times New Roman"/>
          <w:color w:val="000000"/>
          <w:sz w:val="20"/>
          <w:szCs w:val="20"/>
        </w:rPr>
      </w:pPr>
      <w:r w:rsidRPr="00ED35D3">
        <w:rPr>
          <w:rFonts w:ascii="Verdana" w:eastAsia="Times New Roman" w:hAnsi="Verdana" w:cs="Times New Roman"/>
          <w:color w:val="000000"/>
          <w:sz w:val="20"/>
          <w:szCs w:val="20"/>
        </w:rPr>
        <w:t>OPERATING PAYMENT:  The operating payment is a major part of Medicare's prospective payment; however, if the patient's condition requires additional services or longer stay in the hospital, Medicare makes what are called outlier payments.  These payments may be more than the operating and capital payments.  The elements of the operating payment are as follow: DRG Relative Weight x ((Labor Related Large Urban Standardized Amount x Core-Based Statistical Area (CBSA) wage index) + (</w:t>
      </w:r>
      <w:proofErr w:type="spellStart"/>
      <w:r w:rsidRPr="00ED35D3">
        <w:rPr>
          <w:rFonts w:ascii="Verdana" w:eastAsia="Times New Roman" w:hAnsi="Verdana" w:cs="Times New Roman"/>
          <w:color w:val="000000"/>
          <w:sz w:val="20"/>
          <w:szCs w:val="20"/>
        </w:rPr>
        <w:t>Nonlabor</w:t>
      </w:r>
      <w:proofErr w:type="spellEnd"/>
      <w:r w:rsidRPr="00ED35D3">
        <w:rPr>
          <w:rFonts w:ascii="Verdana" w:eastAsia="Times New Roman" w:hAnsi="Verdana" w:cs="Times New Roman"/>
          <w:color w:val="000000"/>
          <w:sz w:val="20"/>
          <w:szCs w:val="20"/>
        </w:rPr>
        <w:t xml:space="preserve"> Related National Large Urban Standardized Amount x Cost of Living Adjustment)) x (1+ Indirect Medical Education + Disproportionate Share Hospital)</w:t>
      </w:r>
    </w:p>
    <w:p w:rsidR="00ED35D3" w:rsidRPr="00ED35D3" w:rsidRDefault="00ED35D3" w:rsidP="00ED35D3">
      <w:pPr>
        <w:pStyle w:val="ListParagraph"/>
        <w:numPr>
          <w:ilvl w:val="0"/>
          <w:numId w:val="1"/>
        </w:numPr>
        <w:shd w:val="clear" w:color="auto" w:fill="FFFFFF"/>
        <w:spacing w:before="100" w:beforeAutospacing="1" w:after="100" w:afterAutospacing="1" w:line="240" w:lineRule="auto"/>
        <w:ind w:right="322"/>
        <w:rPr>
          <w:rFonts w:ascii="Verdana" w:eastAsia="Times New Roman" w:hAnsi="Verdana" w:cs="Times New Roman"/>
          <w:color w:val="000000"/>
          <w:sz w:val="20"/>
          <w:szCs w:val="20"/>
        </w:rPr>
      </w:pPr>
      <w:r w:rsidRPr="00ED35D3">
        <w:rPr>
          <w:rFonts w:ascii="Verdana" w:eastAsia="Times New Roman" w:hAnsi="Verdana" w:cs="Times New Roman"/>
          <w:color w:val="000000"/>
          <w:sz w:val="20"/>
          <w:szCs w:val="20"/>
        </w:rPr>
        <w:t>CAPITAL PAYMENT:  Beginning in 1992, Medicare began paying hospitals for their capital costs associated with care and treatment of a patient, on a prospective basis.  The elements of the Capital Payment are as follow: DRG relative Rate x Federal Capital Rate x Large Urban Add-On x Geographic Cost Adjustment Factor x Cost of Living Adjustment) x (1+ Indirect Medical Education + Disproportionate Share Hospital)</w:t>
      </w:r>
    </w:p>
    <w:p w:rsidR="00ED35D3" w:rsidRPr="00ED35D3" w:rsidRDefault="00ED35D3" w:rsidP="00ED35D3">
      <w:pPr>
        <w:pStyle w:val="ListParagraph"/>
        <w:numPr>
          <w:ilvl w:val="0"/>
          <w:numId w:val="1"/>
        </w:numPr>
        <w:shd w:val="clear" w:color="auto" w:fill="FFFFFF"/>
        <w:spacing w:before="100" w:beforeAutospacing="1" w:after="100" w:afterAutospacing="1" w:line="240" w:lineRule="auto"/>
        <w:ind w:right="322"/>
        <w:rPr>
          <w:rFonts w:ascii="Verdana" w:eastAsia="Times New Roman" w:hAnsi="Verdana" w:cs="Times New Roman"/>
          <w:color w:val="000000"/>
          <w:sz w:val="20"/>
          <w:szCs w:val="20"/>
        </w:rPr>
      </w:pPr>
      <w:r w:rsidRPr="00ED35D3">
        <w:rPr>
          <w:rFonts w:ascii="Verdana" w:eastAsia="Times New Roman" w:hAnsi="Verdana" w:cs="Times New Roman"/>
          <w:color w:val="000000"/>
          <w:sz w:val="20"/>
          <w:szCs w:val="20"/>
        </w:rPr>
        <w:t>OUTLIER PAYMENT:  Outlier payments are additional payments made for patients who use an extraordinary or unusually large amount of resources.  The background page has a link to the Medicare site containing information on the process and formula for calculating total payments including outliers.</w:t>
      </w:r>
    </w:p>
    <w:p w:rsidR="00ED35D3" w:rsidRPr="00ED35D3" w:rsidRDefault="00ED35D3" w:rsidP="00C67EA5">
      <w:pPr>
        <w:pStyle w:val="NormalWeb"/>
        <w:shd w:val="clear" w:color="auto" w:fill="FFFFFF"/>
        <w:ind w:left="720"/>
        <w:rPr>
          <w:rStyle w:val="Strong"/>
          <w:rFonts w:ascii="Verdana" w:hAnsi="Verdana"/>
          <w:b w:val="0"/>
          <w:bCs w:val="0"/>
          <w:color w:val="000000"/>
          <w:sz w:val="20"/>
          <w:szCs w:val="20"/>
        </w:rPr>
      </w:pPr>
    </w:p>
    <w:p w:rsidR="00ED35D3" w:rsidRPr="00C67EA5" w:rsidRDefault="00ED35D3" w:rsidP="00ED35D3">
      <w:pPr>
        <w:pStyle w:val="NormalWeb"/>
        <w:shd w:val="clear" w:color="auto" w:fill="FFFFFF"/>
        <w:ind w:left="720"/>
        <w:rPr>
          <w:rFonts w:ascii="Verdana" w:hAnsi="Verdana"/>
          <w:color w:val="000000"/>
          <w:sz w:val="20"/>
          <w:szCs w:val="20"/>
          <w:u w:val="single"/>
        </w:rPr>
      </w:pPr>
      <w:r w:rsidRPr="00C67EA5">
        <w:rPr>
          <w:rStyle w:val="Strong"/>
          <w:rFonts w:ascii="Verdana" w:hAnsi="Verdana"/>
          <w:color w:val="000000"/>
          <w:sz w:val="20"/>
          <w:szCs w:val="20"/>
          <w:u w:val="single"/>
        </w:rPr>
        <w:t>Required Readings </w:t>
      </w:r>
    </w:p>
    <w:p w:rsidR="00ED35D3" w:rsidRDefault="00ED35D3" w:rsidP="00ED35D3">
      <w:pPr>
        <w:pStyle w:val="NormalWeb"/>
        <w:numPr>
          <w:ilvl w:val="0"/>
          <w:numId w:val="1"/>
        </w:numPr>
        <w:shd w:val="clear" w:color="auto" w:fill="FFFFFF"/>
        <w:rPr>
          <w:rFonts w:ascii="Verdana" w:hAnsi="Verdana"/>
          <w:color w:val="000000"/>
          <w:sz w:val="20"/>
          <w:szCs w:val="20"/>
        </w:rPr>
      </w:pPr>
      <w:r>
        <w:rPr>
          <w:rFonts w:ascii="Verdana" w:hAnsi="Verdana"/>
          <w:color w:val="000000"/>
          <w:sz w:val="20"/>
          <w:szCs w:val="20"/>
        </w:rPr>
        <w:t xml:space="preserve">Medicare Payment Advisory Commission. (2010). Medicare Payment Basics: Hospital Acute Inpatient Services Payment System. Available at </w:t>
      </w:r>
      <w:hyperlink r:id="rId5" w:history="1">
        <w:r>
          <w:rPr>
            <w:rStyle w:val="Hyperlink"/>
          </w:rPr>
          <w:t>http://www.medpac.gov/documents/MedPAC_Payment_Basics_10_hospital.pdf</w:t>
        </w:r>
      </w:hyperlink>
      <w:r>
        <w:rPr>
          <w:rFonts w:ascii="Verdana" w:hAnsi="Verdana"/>
          <w:color w:val="000000"/>
          <w:sz w:val="20"/>
          <w:szCs w:val="20"/>
        </w:rPr>
        <w:t xml:space="preserve"> (Retrieved 08/21/2012)</w:t>
      </w:r>
    </w:p>
    <w:p w:rsidR="00ED35D3" w:rsidRDefault="00ED35D3" w:rsidP="00ED35D3">
      <w:pPr>
        <w:pStyle w:val="NormalWeb"/>
        <w:numPr>
          <w:ilvl w:val="0"/>
          <w:numId w:val="1"/>
        </w:numPr>
        <w:shd w:val="clear" w:color="auto" w:fill="FFFFFF"/>
        <w:rPr>
          <w:rFonts w:ascii="Verdana" w:hAnsi="Verdana"/>
          <w:color w:val="000000"/>
          <w:sz w:val="20"/>
          <w:szCs w:val="20"/>
        </w:rPr>
      </w:pPr>
      <w:r>
        <w:rPr>
          <w:rFonts w:ascii="Verdana" w:hAnsi="Verdana"/>
          <w:color w:val="000000"/>
          <w:sz w:val="20"/>
          <w:szCs w:val="20"/>
        </w:rPr>
        <w:t xml:space="preserve">Medicare Payment Advisory Commission. (2010). Medicare Payment Basics: Outpatient Hospital Services Payment System. Available at </w:t>
      </w:r>
      <w:hyperlink r:id="rId6" w:history="1">
        <w:r>
          <w:rPr>
            <w:rStyle w:val="Hyperlink"/>
          </w:rPr>
          <w:t>http://www.medpac.gov/documents/MedPAC_Payment_Basics_10_OPD.pdf</w:t>
        </w:r>
      </w:hyperlink>
      <w:r>
        <w:rPr>
          <w:rFonts w:ascii="Verdana" w:hAnsi="Verdana"/>
          <w:color w:val="000000"/>
          <w:sz w:val="20"/>
          <w:szCs w:val="20"/>
        </w:rPr>
        <w:t> (Retrieved 08/21/2012)</w:t>
      </w:r>
    </w:p>
    <w:p w:rsidR="00ED35D3" w:rsidRDefault="00ED35D3" w:rsidP="00ED35D3">
      <w:pPr>
        <w:pStyle w:val="NormalWeb"/>
        <w:numPr>
          <w:ilvl w:val="0"/>
          <w:numId w:val="1"/>
        </w:numPr>
        <w:shd w:val="clear" w:color="auto" w:fill="FFFFFF"/>
        <w:rPr>
          <w:rFonts w:ascii="Verdana" w:hAnsi="Verdana"/>
          <w:color w:val="000000"/>
          <w:sz w:val="20"/>
          <w:szCs w:val="20"/>
        </w:rPr>
      </w:pPr>
      <w:r>
        <w:rPr>
          <w:rFonts w:ascii="Verdana" w:hAnsi="Verdana"/>
          <w:color w:val="000000"/>
          <w:sz w:val="20"/>
          <w:szCs w:val="20"/>
        </w:rPr>
        <w:t xml:space="preserve">Centers for Medicare and Medicaid. (2010). Hospital Outpatient Prospective Payment System. The Medicare Learning Network Payment Systems Fact Sheet Series. Available at </w:t>
      </w:r>
      <w:hyperlink r:id="rId7" w:history="1">
        <w:r>
          <w:rPr>
            <w:rStyle w:val="Hyperlink"/>
          </w:rPr>
          <w:t>http://www.cms.gov/MLNProducts/downloads/HospitalOutpaysysfctsht.pdf</w:t>
        </w:r>
      </w:hyperlink>
      <w:r>
        <w:rPr>
          <w:rFonts w:ascii="Verdana" w:hAnsi="Verdana"/>
          <w:color w:val="000000"/>
          <w:sz w:val="20"/>
          <w:szCs w:val="20"/>
        </w:rPr>
        <w:t xml:space="preserve"> (Retrieved 08/21/2012)</w:t>
      </w:r>
    </w:p>
    <w:p w:rsidR="00ED35D3" w:rsidRDefault="00ED35D3" w:rsidP="00ED35D3">
      <w:pPr>
        <w:pStyle w:val="NormalWeb"/>
        <w:numPr>
          <w:ilvl w:val="0"/>
          <w:numId w:val="1"/>
        </w:numPr>
        <w:shd w:val="clear" w:color="auto" w:fill="FFFFFF"/>
        <w:rPr>
          <w:rFonts w:ascii="Verdana" w:hAnsi="Verdana"/>
          <w:color w:val="000000"/>
          <w:sz w:val="20"/>
          <w:szCs w:val="20"/>
        </w:rPr>
      </w:pPr>
      <w:r>
        <w:rPr>
          <w:rFonts w:ascii="Verdana" w:hAnsi="Verdana"/>
          <w:color w:val="000000"/>
          <w:sz w:val="20"/>
          <w:szCs w:val="20"/>
        </w:rPr>
        <w:t xml:space="preserve">Centers for Medicare and Medicaid. (2009). Acute Care Hospital Inpatient Prospective Payment System. The Medicare Learning Network Payment Systems Fact Sheet Series. Available at </w:t>
      </w:r>
      <w:hyperlink r:id="rId8" w:history="1">
        <w:r>
          <w:rPr>
            <w:rStyle w:val="Hyperlink"/>
          </w:rPr>
          <w:t>http://www.cms.gov/MLNProducts/downloads/AcutePaymtSysfctsht.pdf</w:t>
        </w:r>
      </w:hyperlink>
      <w:r>
        <w:rPr>
          <w:rFonts w:ascii="Verdana" w:hAnsi="Verdana"/>
          <w:color w:val="000000"/>
          <w:sz w:val="20"/>
          <w:szCs w:val="20"/>
        </w:rPr>
        <w:t> (Retrieved 08/21/2012)</w:t>
      </w:r>
    </w:p>
    <w:p w:rsidR="00C04BF2" w:rsidRDefault="00C04BF2"/>
    <w:sectPr w:rsidR="00C04BF2" w:rsidSect="00C04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7C4"/>
    <w:multiLevelType w:val="multilevel"/>
    <w:tmpl w:val="A4D6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44110"/>
    <w:rsid w:val="00344110"/>
    <w:rsid w:val="004953DF"/>
    <w:rsid w:val="009271E3"/>
    <w:rsid w:val="00C04BF2"/>
    <w:rsid w:val="00C67EA5"/>
    <w:rsid w:val="00ED35D3"/>
    <w:rsid w:val="00EF7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5D3"/>
    <w:rPr>
      <w:b/>
      <w:bCs/>
    </w:rPr>
  </w:style>
  <w:style w:type="paragraph" w:styleId="ListParagraph">
    <w:name w:val="List Paragraph"/>
    <w:basedOn w:val="Normal"/>
    <w:uiPriority w:val="34"/>
    <w:qFormat/>
    <w:rsid w:val="00ED35D3"/>
    <w:pPr>
      <w:ind w:left="720"/>
      <w:contextualSpacing/>
    </w:pPr>
  </w:style>
  <w:style w:type="character" w:styleId="Hyperlink">
    <w:name w:val="Hyperlink"/>
    <w:basedOn w:val="DefaultParagraphFont"/>
    <w:uiPriority w:val="99"/>
    <w:semiHidden/>
    <w:unhideWhenUsed/>
    <w:rsid w:val="00ED35D3"/>
    <w:rPr>
      <w:rFonts w:ascii="Verdana" w:hAnsi="Verdana" w:hint="default"/>
      <w:color w:val="336699"/>
      <w:sz w:val="20"/>
      <w:szCs w:val="20"/>
      <w:u w:val="single"/>
    </w:rPr>
  </w:style>
</w:styles>
</file>

<file path=word/webSettings.xml><?xml version="1.0" encoding="utf-8"?>
<w:webSettings xmlns:r="http://schemas.openxmlformats.org/officeDocument/2006/relationships" xmlns:w="http://schemas.openxmlformats.org/wordprocessingml/2006/main">
  <w:divs>
    <w:div w:id="1019434344">
      <w:bodyDiv w:val="1"/>
      <w:marLeft w:val="161"/>
      <w:marRight w:val="0"/>
      <w:marTop w:val="215"/>
      <w:marBottom w:val="0"/>
      <w:divBdr>
        <w:top w:val="none" w:sz="0" w:space="0" w:color="auto"/>
        <w:left w:val="none" w:sz="0" w:space="0" w:color="auto"/>
        <w:bottom w:val="none" w:sz="0" w:space="0" w:color="auto"/>
        <w:right w:val="none" w:sz="0" w:space="0" w:color="auto"/>
      </w:divBdr>
      <w:divsChild>
        <w:div w:id="871457660">
          <w:marLeft w:val="0"/>
          <w:marRight w:val="0"/>
          <w:marTop w:val="0"/>
          <w:marBottom w:val="0"/>
          <w:divBdr>
            <w:top w:val="single" w:sz="4" w:space="0" w:color="000000"/>
            <w:left w:val="single" w:sz="4" w:space="0" w:color="000000"/>
            <w:bottom w:val="single" w:sz="4" w:space="0" w:color="000000"/>
            <w:right w:val="single" w:sz="4" w:space="0" w:color="000000"/>
          </w:divBdr>
          <w:divsChild>
            <w:div w:id="510686211">
              <w:marLeft w:val="0"/>
              <w:marRight w:val="0"/>
              <w:marTop w:val="0"/>
              <w:marBottom w:val="0"/>
              <w:divBdr>
                <w:top w:val="none" w:sz="0" w:space="0" w:color="auto"/>
                <w:left w:val="none" w:sz="0" w:space="0" w:color="auto"/>
                <w:bottom w:val="none" w:sz="0" w:space="0" w:color="auto"/>
                <w:right w:val="none" w:sz="0" w:space="0" w:color="auto"/>
              </w:divBdr>
              <w:divsChild>
                <w:div w:id="2098475709">
                  <w:marLeft w:val="0"/>
                  <w:marRight w:val="0"/>
                  <w:marTop w:val="0"/>
                  <w:marBottom w:val="0"/>
                  <w:divBdr>
                    <w:top w:val="none" w:sz="0" w:space="0" w:color="auto"/>
                    <w:left w:val="none" w:sz="0" w:space="0" w:color="auto"/>
                    <w:bottom w:val="none" w:sz="0" w:space="0" w:color="auto"/>
                    <w:right w:val="none" w:sz="0" w:space="0" w:color="auto"/>
                  </w:divBdr>
                  <w:divsChild>
                    <w:div w:id="1282691781">
                      <w:marLeft w:val="107"/>
                      <w:marRight w:val="107"/>
                      <w:marTop w:val="107"/>
                      <w:marBottom w:val="0"/>
                      <w:divBdr>
                        <w:top w:val="none" w:sz="0" w:space="0" w:color="auto"/>
                        <w:left w:val="none" w:sz="0" w:space="0" w:color="auto"/>
                        <w:bottom w:val="none" w:sz="0" w:space="0" w:color="auto"/>
                        <w:right w:val="none" w:sz="0" w:space="0" w:color="auto"/>
                      </w:divBdr>
                      <w:divsChild>
                        <w:div w:id="851531327">
                          <w:marLeft w:val="0"/>
                          <w:marRight w:val="0"/>
                          <w:marTop w:val="0"/>
                          <w:marBottom w:val="0"/>
                          <w:divBdr>
                            <w:top w:val="none" w:sz="0" w:space="0" w:color="auto"/>
                            <w:left w:val="none" w:sz="0" w:space="0" w:color="auto"/>
                            <w:bottom w:val="none" w:sz="0" w:space="0" w:color="auto"/>
                            <w:right w:val="none" w:sz="0" w:space="0" w:color="auto"/>
                          </w:divBdr>
                          <w:divsChild>
                            <w:div w:id="1273976132">
                              <w:marLeft w:val="215"/>
                              <w:marRight w:val="215"/>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48794">
      <w:bodyDiv w:val="1"/>
      <w:marLeft w:val="161"/>
      <w:marRight w:val="0"/>
      <w:marTop w:val="215"/>
      <w:marBottom w:val="0"/>
      <w:divBdr>
        <w:top w:val="none" w:sz="0" w:space="0" w:color="auto"/>
        <w:left w:val="none" w:sz="0" w:space="0" w:color="auto"/>
        <w:bottom w:val="none" w:sz="0" w:space="0" w:color="auto"/>
        <w:right w:val="none" w:sz="0" w:space="0" w:color="auto"/>
      </w:divBdr>
      <w:divsChild>
        <w:div w:id="1698892452">
          <w:marLeft w:val="0"/>
          <w:marRight w:val="0"/>
          <w:marTop w:val="0"/>
          <w:marBottom w:val="0"/>
          <w:divBdr>
            <w:top w:val="single" w:sz="4" w:space="0" w:color="000000"/>
            <w:left w:val="single" w:sz="4" w:space="0" w:color="000000"/>
            <w:bottom w:val="single" w:sz="4" w:space="0" w:color="000000"/>
            <w:right w:val="single" w:sz="4" w:space="0" w:color="000000"/>
          </w:divBdr>
          <w:divsChild>
            <w:div w:id="972710701">
              <w:marLeft w:val="0"/>
              <w:marRight w:val="0"/>
              <w:marTop w:val="0"/>
              <w:marBottom w:val="0"/>
              <w:divBdr>
                <w:top w:val="none" w:sz="0" w:space="0" w:color="auto"/>
                <w:left w:val="none" w:sz="0" w:space="0" w:color="auto"/>
                <w:bottom w:val="none" w:sz="0" w:space="0" w:color="auto"/>
                <w:right w:val="none" w:sz="0" w:space="0" w:color="auto"/>
              </w:divBdr>
              <w:divsChild>
                <w:div w:id="1259872019">
                  <w:marLeft w:val="0"/>
                  <w:marRight w:val="0"/>
                  <w:marTop w:val="0"/>
                  <w:marBottom w:val="0"/>
                  <w:divBdr>
                    <w:top w:val="none" w:sz="0" w:space="0" w:color="auto"/>
                    <w:left w:val="none" w:sz="0" w:space="0" w:color="auto"/>
                    <w:bottom w:val="none" w:sz="0" w:space="0" w:color="auto"/>
                    <w:right w:val="none" w:sz="0" w:space="0" w:color="auto"/>
                  </w:divBdr>
                  <w:divsChild>
                    <w:div w:id="1723094688">
                      <w:marLeft w:val="107"/>
                      <w:marRight w:val="107"/>
                      <w:marTop w:val="107"/>
                      <w:marBottom w:val="0"/>
                      <w:divBdr>
                        <w:top w:val="none" w:sz="0" w:space="0" w:color="auto"/>
                        <w:left w:val="none" w:sz="0" w:space="0" w:color="auto"/>
                        <w:bottom w:val="none" w:sz="0" w:space="0" w:color="auto"/>
                        <w:right w:val="none" w:sz="0" w:space="0" w:color="auto"/>
                      </w:divBdr>
                      <w:divsChild>
                        <w:div w:id="172451770">
                          <w:marLeft w:val="0"/>
                          <w:marRight w:val="0"/>
                          <w:marTop w:val="0"/>
                          <w:marBottom w:val="0"/>
                          <w:divBdr>
                            <w:top w:val="none" w:sz="0" w:space="0" w:color="auto"/>
                            <w:left w:val="none" w:sz="0" w:space="0" w:color="auto"/>
                            <w:bottom w:val="none" w:sz="0" w:space="0" w:color="auto"/>
                            <w:right w:val="none" w:sz="0" w:space="0" w:color="auto"/>
                          </w:divBdr>
                          <w:divsChild>
                            <w:div w:id="1936092178">
                              <w:marLeft w:val="215"/>
                              <w:marRight w:val="215"/>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225785">
      <w:bodyDiv w:val="1"/>
      <w:marLeft w:val="161"/>
      <w:marRight w:val="0"/>
      <w:marTop w:val="215"/>
      <w:marBottom w:val="0"/>
      <w:divBdr>
        <w:top w:val="none" w:sz="0" w:space="0" w:color="auto"/>
        <w:left w:val="none" w:sz="0" w:space="0" w:color="auto"/>
        <w:bottom w:val="none" w:sz="0" w:space="0" w:color="auto"/>
        <w:right w:val="none" w:sz="0" w:space="0" w:color="auto"/>
      </w:divBdr>
      <w:divsChild>
        <w:div w:id="274144994">
          <w:marLeft w:val="0"/>
          <w:marRight w:val="0"/>
          <w:marTop w:val="0"/>
          <w:marBottom w:val="0"/>
          <w:divBdr>
            <w:top w:val="single" w:sz="4" w:space="0" w:color="000000"/>
            <w:left w:val="single" w:sz="4" w:space="0" w:color="000000"/>
            <w:bottom w:val="single" w:sz="4" w:space="0" w:color="000000"/>
            <w:right w:val="single" w:sz="4" w:space="0" w:color="000000"/>
          </w:divBdr>
          <w:divsChild>
            <w:div w:id="1076321640">
              <w:marLeft w:val="0"/>
              <w:marRight w:val="0"/>
              <w:marTop w:val="0"/>
              <w:marBottom w:val="0"/>
              <w:divBdr>
                <w:top w:val="none" w:sz="0" w:space="0" w:color="auto"/>
                <w:left w:val="none" w:sz="0" w:space="0" w:color="auto"/>
                <w:bottom w:val="none" w:sz="0" w:space="0" w:color="auto"/>
                <w:right w:val="none" w:sz="0" w:space="0" w:color="auto"/>
              </w:divBdr>
              <w:divsChild>
                <w:div w:id="1739860610">
                  <w:marLeft w:val="0"/>
                  <w:marRight w:val="0"/>
                  <w:marTop w:val="0"/>
                  <w:marBottom w:val="0"/>
                  <w:divBdr>
                    <w:top w:val="none" w:sz="0" w:space="0" w:color="auto"/>
                    <w:left w:val="none" w:sz="0" w:space="0" w:color="auto"/>
                    <w:bottom w:val="none" w:sz="0" w:space="0" w:color="auto"/>
                    <w:right w:val="none" w:sz="0" w:space="0" w:color="auto"/>
                  </w:divBdr>
                  <w:divsChild>
                    <w:div w:id="1696954516">
                      <w:marLeft w:val="107"/>
                      <w:marRight w:val="107"/>
                      <w:marTop w:val="107"/>
                      <w:marBottom w:val="0"/>
                      <w:divBdr>
                        <w:top w:val="none" w:sz="0" w:space="0" w:color="auto"/>
                        <w:left w:val="none" w:sz="0" w:space="0" w:color="auto"/>
                        <w:bottom w:val="none" w:sz="0" w:space="0" w:color="auto"/>
                        <w:right w:val="none" w:sz="0" w:space="0" w:color="auto"/>
                      </w:divBdr>
                      <w:divsChild>
                        <w:div w:id="798299887">
                          <w:marLeft w:val="0"/>
                          <w:marRight w:val="0"/>
                          <w:marTop w:val="0"/>
                          <w:marBottom w:val="0"/>
                          <w:divBdr>
                            <w:top w:val="none" w:sz="0" w:space="0" w:color="auto"/>
                            <w:left w:val="none" w:sz="0" w:space="0" w:color="auto"/>
                            <w:bottom w:val="none" w:sz="0" w:space="0" w:color="auto"/>
                            <w:right w:val="none" w:sz="0" w:space="0" w:color="auto"/>
                          </w:divBdr>
                          <w:divsChild>
                            <w:div w:id="1293828142">
                              <w:marLeft w:val="215"/>
                              <w:marRight w:val="215"/>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17239">
      <w:bodyDiv w:val="1"/>
      <w:marLeft w:val="161"/>
      <w:marRight w:val="0"/>
      <w:marTop w:val="215"/>
      <w:marBottom w:val="0"/>
      <w:divBdr>
        <w:top w:val="none" w:sz="0" w:space="0" w:color="auto"/>
        <w:left w:val="none" w:sz="0" w:space="0" w:color="auto"/>
        <w:bottom w:val="none" w:sz="0" w:space="0" w:color="auto"/>
        <w:right w:val="none" w:sz="0" w:space="0" w:color="auto"/>
      </w:divBdr>
      <w:divsChild>
        <w:div w:id="1296179329">
          <w:marLeft w:val="0"/>
          <w:marRight w:val="0"/>
          <w:marTop w:val="0"/>
          <w:marBottom w:val="0"/>
          <w:divBdr>
            <w:top w:val="single" w:sz="4" w:space="0" w:color="000000"/>
            <w:left w:val="single" w:sz="4" w:space="0" w:color="000000"/>
            <w:bottom w:val="single" w:sz="4" w:space="0" w:color="000000"/>
            <w:right w:val="single" w:sz="4" w:space="0" w:color="000000"/>
          </w:divBdr>
          <w:divsChild>
            <w:div w:id="730615805">
              <w:marLeft w:val="0"/>
              <w:marRight w:val="0"/>
              <w:marTop w:val="0"/>
              <w:marBottom w:val="0"/>
              <w:divBdr>
                <w:top w:val="none" w:sz="0" w:space="0" w:color="auto"/>
                <w:left w:val="none" w:sz="0" w:space="0" w:color="auto"/>
                <w:bottom w:val="none" w:sz="0" w:space="0" w:color="auto"/>
                <w:right w:val="none" w:sz="0" w:space="0" w:color="auto"/>
              </w:divBdr>
              <w:divsChild>
                <w:div w:id="1739160689">
                  <w:marLeft w:val="0"/>
                  <w:marRight w:val="0"/>
                  <w:marTop w:val="0"/>
                  <w:marBottom w:val="0"/>
                  <w:divBdr>
                    <w:top w:val="none" w:sz="0" w:space="0" w:color="auto"/>
                    <w:left w:val="none" w:sz="0" w:space="0" w:color="auto"/>
                    <w:bottom w:val="none" w:sz="0" w:space="0" w:color="auto"/>
                    <w:right w:val="none" w:sz="0" w:space="0" w:color="auto"/>
                  </w:divBdr>
                  <w:divsChild>
                    <w:div w:id="1077749675">
                      <w:marLeft w:val="107"/>
                      <w:marRight w:val="107"/>
                      <w:marTop w:val="107"/>
                      <w:marBottom w:val="0"/>
                      <w:divBdr>
                        <w:top w:val="none" w:sz="0" w:space="0" w:color="auto"/>
                        <w:left w:val="none" w:sz="0" w:space="0" w:color="auto"/>
                        <w:bottom w:val="none" w:sz="0" w:space="0" w:color="auto"/>
                        <w:right w:val="none" w:sz="0" w:space="0" w:color="auto"/>
                      </w:divBdr>
                      <w:divsChild>
                        <w:div w:id="123355999">
                          <w:marLeft w:val="0"/>
                          <w:marRight w:val="0"/>
                          <w:marTop w:val="0"/>
                          <w:marBottom w:val="0"/>
                          <w:divBdr>
                            <w:top w:val="none" w:sz="0" w:space="0" w:color="auto"/>
                            <w:left w:val="none" w:sz="0" w:space="0" w:color="auto"/>
                            <w:bottom w:val="none" w:sz="0" w:space="0" w:color="auto"/>
                            <w:right w:val="none" w:sz="0" w:space="0" w:color="auto"/>
                          </w:divBdr>
                          <w:divsChild>
                            <w:div w:id="821505411">
                              <w:marLeft w:val="215"/>
                              <w:marRight w:val="215"/>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MLNProducts/downloads/AcutePaymtSysfctsht.pdf" TargetMode="External"/><Relationship Id="rId3" Type="http://schemas.openxmlformats.org/officeDocument/2006/relationships/settings" Target="settings.xml"/><Relationship Id="rId7" Type="http://schemas.openxmlformats.org/officeDocument/2006/relationships/hyperlink" Target="http://www.cms.gov/MLNProducts/downloads/HospitalOutpaysysfctsh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pac.gov/documents/MedPAC_Payment_Basics_10_OPD.pdf" TargetMode="External"/><Relationship Id="rId5" Type="http://schemas.openxmlformats.org/officeDocument/2006/relationships/hyperlink" Target="http://www.medpac.gov/documents/MedPAC_Payment_Basics_10_hospit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josia.onyango</dc:creator>
  <cp:keywords/>
  <dc:description/>
  <cp:lastModifiedBy>josia.onyango</cp:lastModifiedBy>
  <cp:revision>2</cp:revision>
  <dcterms:created xsi:type="dcterms:W3CDTF">2012-12-27T15:25:00Z</dcterms:created>
  <dcterms:modified xsi:type="dcterms:W3CDTF">2012-12-27T15:25:00Z</dcterms:modified>
</cp:coreProperties>
</file>