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D4" w:rsidRDefault="005679D4">
      <w:r>
        <w:t xml:space="preserve">A manufacturing company produces a large variety of products </w:t>
      </w:r>
      <w:r w:rsidR="00386440">
        <w:t>within</w:t>
      </w:r>
      <w:r>
        <w:t xml:space="preserve"> the </w:t>
      </w:r>
      <w:r w:rsidR="00386440">
        <w:t>Butler</w:t>
      </w:r>
      <w:r>
        <w:t xml:space="preserve"> family of </w:t>
      </w:r>
    </w:p>
    <w:p w:rsidR="00D24ED7" w:rsidRDefault="00386440">
      <w:r>
        <w:t>Products</w:t>
      </w:r>
      <w:r w:rsidR="005679D4">
        <w:t xml:space="preserve">.  </w:t>
      </w:r>
      <w:r>
        <w:t>They are produced in three finishing departments (A, B, C) which have identical assembly operations but package the products differently for different lines of business.</w:t>
      </w:r>
    </w:p>
    <w:p w:rsidR="005679D4" w:rsidRDefault="005679D4">
      <w:r>
        <w:tab/>
        <w:t xml:space="preserve">Each finishing line packages units as either single </w:t>
      </w:r>
      <w:r w:rsidR="00386440">
        <w:t>unit</w:t>
      </w:r>
      <w:r>
        <w:t xml:space="preserve"> of multiple </w:t>
      </w:r>
      <w:r w:rsidR="00386440">
        <w:t>units</w:t>
      </w:r>
      <w:r>
        <w:t xml:space="preserve"> per </w:t>
      </w:r>
      <w:r w:rsidR="00386440">
        <w:t>package</w:t>
      </w:r>
      <w:r>
        <w:t xml:space="preserve">.  For allocating overhead, volume </w:t>
      </w:r>
      <w:r w:rsidR="00386440">
        <w:t>is</w:t>
      </w:r>
      <w:r>
        <w:t xml:space="preserve"> defined in terms of machine hours.  Each department can package 1140 single units per hour.</w:t>
      </w:r>
    </w:p>
    <w:p w:rsidR="005679D4" w:rsidRDefault="005679D4">
      <w:r>
        <w:tab/>
        <w:t xml:space="preserve">Department A has the oldest equipment, </w:t>
      </w:r>
      <w:r w:rsidR="00386440">
        <w:t>which</w:t>
      </w:r>
      <w:r>
        <w:t xml:space="preserve"> is in the last year of its depreciable life.  Department B’s equipment is about </w:t>
      </w:r>
      <w:r w:rsidR="00386440">
        <w:t>half</w:t>
      </w:r>
      <w:r>
        <w:t xml:space="preserve"> depreciated.  Department C’s equipment is in the second year of its life.</w:t>
      </w:r>
    </w:p>
    <w:p w:rsidR="005679D4" w:rsidRDefault="005679D4">
      <w:r>
        <w:tab/>
        <w:t xml:space="preserve">The budget prepared for each department in 2010 included the following </w:t>
      </w:r>
      <w:r w:rsidR="00386440">
        <w:t>costs</w:t>
      </w:r>
      <w:r>
        <w:t xml:space="preserve">, </w:t>
      </w:r>
      <w:r w:rsidR="00386440">
        <w:t>volumes,</w:t>
      </w:r>
      <w:r>
        <w:t xml:space="preserve"> and </w:t>
      </w:r>
      <w:r w:rsidR="00386440">
        <w:t>overhead</w:t>
      </w:r>
      <w:r>
        <w:t xml:space="preserve"> rates (M denotes million):</w:t>
      </w:r>
    </w:p>
    <w:tbl>
      <w:tblPr>
        <w:tblStyle w:val="TableGrid"/>
        <w:tblpPr w:leftFromText="180" w:rightFromText="180" w:vertAnchor="page" w:horzAnchor="margin" w:tblpY="754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679D4" w:rsidTr="005679D4">
        <w:tc>
          <w:tcPr>
            <w:tcW w:w="2394" w:type="dxa"/>
          </w:tcPr>
          <w:p w:rsidR="005679D4" w:rsidRDefault="005679D4" w:rsidP="005679D4"/>
        </w:tc>
        <w:tc>
          <w:tcPr>
            <w:tcW w:w="2394" w:type="dxa"/>
          </w:tcPr>
          <w:p w:rsidR="005679D4" w:rsidRDefault="005679D4" w:rsidP="005679D4">
            <w:r>
              <w:t>A</w:t>
            </w:r>
          </w:p>
        </w:tc>
        <w:tc>
          <w:tcPr>
            <w:tcW w:w="2394" w:type="dxa"/>
          </w:tcPr>
          <w:p w:rsidR="005679D4" w:rsidRDefault="005679D4" w:rsidP="005679D4">
            <w:r>
              <w:t>B</w:t>
            </w:r>
          </w:p>
        </w:tc>
        <w:tc>
          <w:tcPr>
            <w:tcW w:w="2394" w:type="dxa"/>
          </w:tcPr>
          <w:p w:rsidR="005679D4" w:rsidRDefault="005679D4" w:rsidP="005679D4">
            <w:r>
              <w:t>C</w:t>
            </w:r>
          </w:p>
        </w:tc>
      </w:tr>
      <w:tr w:rsidR="005679D4" w:rsidTr="005679D4">
        <w:tc>
          <w:tcPr>
            <w:tcW w:w="2394" w:type="dxa"/>
          </w:tcPr>
          <w:p w:rsidR="005679D4" w:rsidRDefault="005679D4" w:rsidP="005679D4">
            <w:r>
              <w:t>Expected Number of units</w:t>
            </w:r>
          </w:p>
        </w:tc>
        <w:tc>
          <w:tcPr>
            <w:tcW w:w="2394" w:type="dxa"/>
          </w:tcPr>
          <w:p w:rsidR="005679D4" w:rsidRDefault="005679D4" w:rsidP="005679D4">
            <w:r>
              <w:t>73M</w:t>
            </w:r>
          </w:p>
        </w:tc>
        <w:tc>
          <w:tcPr>
            <w:tcW w:w="2394" w:type="dxa"/>
          </w:tcPr>
          <w:p w:rsidR="005679D4" w:rsidRDefault="005679D4" w:rsidP="005679D4">
            <w:r>
              <w:t>73M</w:t>
            </w:r>
          </w:p>
        </w:tc>
        <w:tc>
          <w:tcPr>
            <w:tcW w:w="2394" w:type="dxa"/>
          </w:tcPr>
          <w:p w:rsidR="005679D4" w:rsidRDefault="005679D4" w:rsidP="005679D4">
            <w:r>
              <w:t>55M</w:t>
            </w:r>
          </w:p>
        </w:tc>
      </w:tr>
      <w:tr w:rsidR="005679D4" w:rsidTr="005679D4">
        <w:tc>
          <w:tcPr>
            <w:tcW w:w="2394" w:type="dxa"/>
          </w:tcPr>
          <w:p w:rsidR="005679D4" w:rsidRDefault="005679D4" w:rsidP="005679D4">
            <w:r>
              <w:t>Fixed Overhead</w:t>
            </w:r>
          </w:p>
        </w:tc>
        <w:tc>
          <w:tcPr>
            <w:tcW w:w="2394" w:type="dxa"/>
          </w:tcPr>
          <w:p w:rsidR="005679D4" w:rsidRDefault="005679D4" w:rsidP="005679D4"/>
        </w:tc>
        <w:tc>
          <w:tcPr>
            <w:tcW w:w="2394" w:type="dxa"/>
          </w:tcPr>
          <w:p w:rsidR="005679D4" w:rsidRDefault="005679D4" w:rsidP="005679D4"/>
        </w:tc>
        <w:tc>
          <w:tcPr>
            <w:tcW w:w="2394" w:type="dxa"/>
          </w:tcPr>
          <w:p w:rsidR="005679D4" w:rsidRDefault="005679D4" w:rsidP="005679D4"/>
        </w:tc>
      </w:tr>
      <w:tr w:rsidR="005679D4" w:rsidTr="005679D4">
        <w:tc>
          <w:tcPr>
            <w:tcW w:w="2394" w:type="dxa"/>
          </w:tcPr>
          <w:p w:rsidR="005679D4" w:rsidRDefault="005679D4" w:rsidP="005679D4">
            <w:r>
              <w:t>General Expenses</w:t>
            </w:r>
          </w:p>
        </w:tc>
        <w:tc>
          <w:tcPr>
            <w:tcW w:w="2394" w:type="dxa"/>
          </w:tcPr>
          <w:p w:rsidR="005679D4" w:rsidRDefault="005679D4" w:rsidP="005679D4">
            <w:r>
              <w:t>$1.5M</w:t>
            </w:r>
          </w:p>
        </w:tc>
        <w:tc>
          <w:tcPr>
            <w:tcW w:w="2394" w:type="dxa"/>
          </w:tcPr>
          <w:p w:rsidR="005679D4" w:rsidRDefault="005679D4" w:rsidP="005679D4">
            <w:r>
              <w:t>2.0M</w:t>
            </w:r>
          </w:p>
        </w:tc>
        <w:tc>
          <w:tcPr>
            <w:tcW w:w="2394" w:type="dxa"/>
          </w:tcPr>
          <w:p w:rsidR="005679D4" w:rsidRDefault="005679D4" w:rsidP="005679D4">
            <w:r>
              <w:t>1.25M</w:t>
            </w:r>
          </w:p>
        </w:tc>
      </w:tr>
      <w:tr w:rsidR="005679D4" w:rsidTr="005679D4">
        <w:tc>
          <w:tcPr>
            <w:tcW w:w="2394" w:type="dxa"/>
          </w:tcPr>
          <w:p w:rsidR="005679D4" w:rsidRDefault="005679D4" w:rsidP="005679D4">
            <w:r>
              <w:t>Rent</w:t>
            </w:r>
          </w:p>
        </w:tc>
        <w:tc>
          <w:tcPr>
            <w:tcW w:w="2394" w:type="dxa"/>
          </w:tcPr>
          <w:p w:rsidR="005679D4" w:rsidRDefault="005679D4" w:rsidP="005679D4">
            <w:r>
              <w:t>$1.5M</w:t>
            </w:r>
          </w:p>
        </w:tc>
        <w:tc>
          <w:tcPr>
            <w:tcW w:w="2394" w:type="dxa"/>
          </w:tcPr>
          <w:p w:rsidR="005679D4" w:rsidRDefault="005679D4" w:rsidP="005679D4">
            <w:r>
              <w:t>2.0M</w:t>
            </w:r>
          </w:p>
        </w:tc>
        <w:tc>
          <w:tcPr>
            <w:tcW w:w="2394" w:type="dxa"/>
          </w:tcPr>
          <w:p w:rsidR="005679D4" w:rsidRDefault="005679D4" w:rsidP="005679D4">
            <w:r>
              <w:t>1.25M</w:t>
            </w:r>
          </w:p>
        </w:tc>
      </w:tr>
      <w:tr w:rsidR="005679D4" w:rsidTr="005679D4">
        <w:tc>
          <w:tcPr>
            <w:tcW w:w="2394" w:type="dxa"/>
          </w:tcPr>
          <w:p w:rsidR="005679D4" w:rsidRDefault="00386440" w:rsidP="005679D4">
            <w:r>
              <w:t>Depreciation</w:t>
            </w:r>
          </w:p>
        </w:tc>
        <w:tc>
          <w:tcPr>
            <w:tcW w:w="2394" w:type="dxa"/>
          </w:tcPr>
          <w:p w:rsidR="005679D4" w:rsidRDefault="005679D4" w:rsidP="005679D4">
            <w:r>
              <w:t>$.5M</w:t>
            </w:r>
          </w:p>
        </w:tc>
        <w:tc>
          <w:tcPr>
            <w:tcW w:w="2394" w:type="dxa"/>
          </w:tcPr>
          <w:p w:rsidR="005679D4" w:rsidRDefault="005679D4" w:rsidP="005679D4">
            <w:r>
              <w:t>2.0M</w:t>
            </w:r>
          </w:p>
        </w:tc>
        <w:tc>
          <w:tcPr>
            <w:tcW w:w="2394" w:type="dxa"/>
          </w:tcPr>
          <w:p w:rsidR="005679D4" w:rsidRDefault="005679D4" w:rsidP="005679D4">
            <w:r>
              <w:t>5.0M</w:t>
            </w:r>
          </w:p>
        </w:tc>
      </w:tr>
      <w:tr w:rsidR="005679D4" w:rsidTr="005679D4">
        <w:tc>
          <w:tcPr>
            <w:tcW w:w="2394" w:type="dxa"/>
          </w:tcPr>
          <w:p w:rsidR="005679D4" w:rsidRDefault="005679D4" w:rsidP="005679D4">
            <w:r>
              <w:t>Variable overhead</w:t>
            </w:r>
          </w:p>
        </w:tc>
        <w:tc>
          <w:tcPr>
            <w:tcW w:w="2394" w:type="dxa"/>
          </w:tcPr>
          <w:p w:rsidR="005679D4" w:rsidRDefault="005679D4" w:rsidP="005679D4">
            <w:r>
              <w:t>$150/machine hours</w:t>
            </w:r>
          </w:p>
        </w:tc>
        <w:tc>
          <w:tcPr>
            <w:tcW w:w="2394" w:type="dxa"/>
          </w:tcPr>
          <w:p w:rsidR="005679D4" w:rsidRDefault="005679D4" w:rsidP="005679D4">
            <w:r>
              <w:t>131/machine hours</w:t>
            </w:r>
          </w:p>
        </w:tc>
        <w:tc>
          <w:tcPr>
            <w:tcW w:w="2394" w:type="dxa"/>
          </w:tcPr>
          <w:p w:rsidR="005679D4" w:rsidRDefault="005679D4" w:rsidP="005679D4">
            <w:r>
              <w:t>150/machine hours</w:t>
            </w:r>
          </w:p>
        </w:tc>
      </w:tr>
      <w:tr w:rsidR="005679D4" w:rsidTr="005679D4">
        <w:tc>
          <w:tcPr>
            <w:tcW w:w="2394" w:type="dxa"/>
          </w:tcPr>
          <w:p w:rsidR="005679D4" w:rsidRDefault="005679D4" w:rsidP="005679D4">
            <w:r>
              <w:t>Machine Rate</w:t>
            </w:r>
          </w:p>
        </w:tc>
        <w:tc>
          <w:tcPr>
            <w:tcW w:w="2394" w:type="dxa"/>
          </w:tcPr>
          <w:p w:rsidR="005679D4" w:rsidRDefault="005679D4" w:rsidP="005679D4">
            <w:r>
              <w:t>1140 units/hour</w:t>
            </w:r>
          </w:p>
        </w:tc>
        <w:tc>
          <w:tcPr>
            <w:tcW w:w="2394" w:type="dxa"/>
          </w:tcPr>
          <w:p w:rsidR="005679D4" w:rsidRDefault="005679D4" w:rsidP="005679D4">
            <w:r>
              <w:t>1140 units/hours</w:t>
            </w:r>
          </w:p>
        </w:tc>
        <w:tc>
          <w:tcPr>
            <w:tcW w:w="2394" w:type="dxa"/>
          </w:tcPr>
          <w:p w:rsidR="005679D4" w:rsidRDefault="005679D4" w:rsidP="005679D4">
            <w:r>
              <w:t>1140 units/hour</w:t>
            </w:r>
          </w:p>
        </w:tc>
      </w:tr>
      <w:tr w:rsidR="005679D4" w:rsidTr="005679D4">
        <w:tc>
          <w:tcPr>
            <w:tcW w:w="2394" w:type="dxa"/>
          </w:tcPr>
          <w:p w:rsidR="005679D4" w:rsidRDefault="005679D4" w:rsidP="005679D4">
            <w:r>
              <w:t>Direct materials</w:t>
            </w:r>
          </w:p>
        </w:tc>
        <w:tc>
          <w:tcPr>
            <w:tcW w:w="2394" w:type="dxa"/>
          </w:tcPr>
          <w:p w:rsidR="005679D4" w:rsidRDefault="005679D4" w:rsidP="005679D4">
            <w:r>
              <w:t>$.50/ unit</w:t>
            </w:r>
          </w:p>
        </w:tc>
        <w:tc>
          <w:tcPr>
            <w:tcW w:w="2394" w:type="dxa"/>
          </w:tcPr>
          <w:p w:rsidR="005679D4" w:rsidRDefault="005679D4" w:rsidP="005679D4">
            <w:r>
              <w:t>.52/ unit</w:t>
            </w:r>
          </w:p>
        </w:tc>
        <w:tc>
          <w:tcPr>
            <w:tcW w:w="2394" w:type="dxa"/>
          </w:tcPr>
          <w:p w:rsidR="005679D4" w:rsidRDefault="005679D4" w:rsidP="005679D4">
            <w:r>
              <w:t>.55/unit</w:t>
            </w:r>
          </w:p>
        </w:tc>
      </w:tr>
      <w:tr w:rsidR="005679D4" w:rsidTr="005679D4">
        <w:tc>
          <w:tcPr>
            <w:tcW w:w="2394" w:type="dxa"/>
          </w:tcPr>
          <w:p w:rsidR="005679D4" w:rsidRDefault="005679D4" w:rsidP="005679D4">
            <w:r>
              <w:t>Direct Labor</w:t>
            </w:r>
          </w:p>
        </w:tc>
        <w:tc>
          <w:tcPr>
            <w:tcW w:w="2394" w:type="dxa"/>
          </w:tcPr>
          <w:p w:rsidR="005679D4" w:rsidRDefault="005679D4" w:rsidP="005679D4">
            <w:r>
              <w:t>$.15 /unit</w:t>
            </w:r>
          </w:p>
        </w:tc>
        <w:tc>
          <w:tcPr>
            <w:tcW w:w="2394" w:type="dxa"/>
          </w:tcPr>
          <w:p w:rsidR="005679D4" w:rsidRDefault="005679D4" w:rsidP="005679D4">
            <w:r>
              <w:t>.15 /unit</w:t>
            </w:r>
          </w:p>
        </w:tc>
        <w:tc>
          <w:tcPr>
            <w:tcW w:w="2394" w:type="dxa"/>
          </w:tcPr>
          <w:p w:rsidR="005679D4" w:rsidRDefault="005679D4" w:rsidP="005679D4">
            <w:r>
              <w:t>.135/unit</w:t>
            </w:r>
          </w:p>
        </w:tc>
      </w:tr>
    </w:tbl>
    <w:p w:rsidR="005679D4" w:rsidRDefault="005679D4"/>
    <w:p w:rsidR="005679D4" w:rsidRDefault="005679D4">
      <w:r>
        <w:t xml:space="preserve">The general expense portion of the overhead </w:t>
      </w:r>
      <w:r w:rsidR="00386440">
        <w:t>is</w:t>
      </w:r>
      <w:r>
        <w:t xml:space="preserve"> set by </w:t>
      </w:r>
      <w:r w:rsidR="00386440">
        <w:t>each</w:t>
      </w:r>
      <w:r>
        <w:t xml:space="preserve"> department at the beginning of the year for training capital items under $2500 and other department needs.  The rent charged </w:t>
      </w:r>
      <w:r w:rsidR="00386440">
        <w:t>to each</w:t>
      </w:r>
      <w:r>
        <w:t xml:space="preserve"> department is determined by the age and </w:t>
      </w:r>
      <w:r w:rsidR="00386440">
        <w:t>the</w:t>
      </w:r>
      <w:r>
        <w:t xml:space="preserve"> structure of </w:t>
      </w:r>
      <w:r w:rsidR="00386440">
        <w:t>the</w:t>
      </w:r>
      <w:r>
        <w:t xml:space="preserve"> building in which the </w:t>
      </w:r>
      <w:r w:rsidR="00386440">
        <w:t>department</w:t>
      </w:r>
      <w:r>
        <w:t xml:space="preserve"> operates.  In general, machines that are shut down because </w:t>
      </w:r>
      <w:r w:rsidR="00386440">
        <w:t>of</w:t>
      </w:r>
      <w:r>
        <w:t xml:space="preserve"> volume decreases are not removed, so rent </w:t>
      </w:r>
      <w:r w:rsidR="00386440">
        <w:t>charges</w:t>
      </w:r>
      <w:r>
        <w:t xml:space="preserve"> do not decrease the volume,</w:t>
      </w:r>
    </w:p>
    <w:p w:rsidR="005679D4" w:rsidRDefault="005679D4">
      <w:r>
        <w:lastRenderedPageBreak/>
        <w:tab/>
        <w:t xml:space="preserve">The company currently determines unit manufacturing cost UMC </w:t>
      </w:r>
      <w:r w:rsidR="00386440">
        <w:t>charges</w:t>
      </w:r>
      <w:r>
        <w:t xml:space="preserve"> on a department basis, with one UMC for all types of products </w:t>
      </w:r>
      <w:r w:rsidR="00386440">
        <w:t>finished</w:t>
      </w:r>
      <w:r>
        <w:t xml:space="preserve"> in that department,  Under- </w:t>
      </w:r>
      <w:r w:rsidR="00386440">
        <w:t>over absorbed</w:t>
      </w:r>
      <w:r>
        <w:t xml:space="preserve"> overhead is aggregated over the entire division and distributed to the </w:t>
      </w:r>
      <w:r w:rsidR="00386440">
        <w:t>departments</w:t>
      </w:r>
      <w:r>
        <w:t xml:space="preserve"> based on normal volume.</w:t>
      </w:r>
    </w:p>
    <w:p w:rsidR="005679D4" w:rsidRDefault="005679D4">
      <w:r>
        <w:tab/>
        <w:t xml:space="preserve">The packaging machines in each department require different amounts of maintenance (Variable overhead).  </w:t>
      </w:r>
      <w:r w:rsidR="00386440">
        <w:t xml:space="preserve">In dept.  </w:t>
      </w:r>
      <w:r>
        <w:t xml:space="preserve">A, the maintenance is </w:t>
      </w:r>
      <w:r w:rsidR="00386440">
        <w:t>higher</w:t>
      </w:r>
      <w:r>
        <w:t xml:space="preserve"> because of </w:t>
      </w:r>
      <w:r w:rsidR="00386440">
        <w:t>older</w:t>
      </w:r>
      <w:r>
        <w:t xml:space="preserve"> drive and logic systems.  In department C, it is higher due to startup costs </w:t>
      </w:r>
      <w:r w:rsidR="00386440">
        <w:t>that</w:t>
      </w:r>
      <w:r>
        <w:t xml:space="preserve"> </w:t>
      </w:r>
      <w:r w:rsidR="00386440">
        <w:t>should</w:t>
      </w:r>
      <w:r>
        <w:t xml:space="preserve"> decrease wit time.</w:t>
      </w:r>
    </w:p>
    <w:p w:rsidR="005679D4" w:rsidRDefault="005679D4">
      <w:r>
        <w:tab/>
      </w:r>
      <w:r w:rsidR="00386440">
        <w:t>Direct materials costs depend</w:t>
      </w:r>
      <w:r>
        <w:t xml:space="preserve"> on the products </w:t>
      </w:r>
      <w:r w:rsidR="00386440">
        <w:t>each</w:t>
      </w:r>
      <w:r>
        <w:t xml:space="preserve"> department has been designated to run and </w:t>
      </w:r>
      <w:r w:rsidR="00386440">
        <w:t>the</w:t>
      </w:r>
      <w:r>
        <w:t xml:space="preserve"> age of the equipment.  They are outside the control of the department.</w:t>
      </w:r>
    </w:p>
    <w:p w:rsidR="005679D4" w:rsidRDefault="005679D4">
      <w:r>
        <w:tab/>
        <w:t xml:space="preserve">In </w:t>
      </w:r>
      <w:r w:rsidR="00386440">
        <w:t>2012,</w:t>
      </w:r>
      <w:r>
        <w:t xml:space="preserve"> Butler sales softened and not all of </w:t>
      </w:r>
      <w:r w:rsidR="00386440">
        <w:t>the</w:t>
      </w:r>
      <w:r>
        <w:t xml:space="preserve"> capacity in departments A</w:t>
      </w:r>
      <w:r w:rsidR="00386440">
        <w:t>, B, C</w:t>
      </w:r>
      <w:r>
        <w:t xml:space="preserve"> </w:t>
      </w:r>
      <w:r w:rsidR="00386440">
        <w:t>is needed</w:t>
      </w:r>
      <w:r>
        <w:t xml:space="preserve"> in 2011</w:t>
      </w:r>
      <w:r w:rsidR="00386440">
        <w:t xml:space="preserve">.  </w:t>
      </w:r>
      <w:r>
        <w:t xml:space="preserve">Some capacity will be eliminated in one of the </w:t>
      </w:r>
      <w:r w:rsidR="00386440">
        <w:t>departments</w:t>
      </w:r>
      <w:r>
        <w:t>.</w:t>
      </w:r>
    </w:p>
    <w:p w:rsidR="00FC2C6E" w:rsidRDefault="00356B09">
      <w:r>
        <w:tab/>
        <w:t>The UMC for 2010</w:t>
      </w:r>
      <w:bookmarkStart w:id="0" w:name="_GoBack"/>
      <w:bookmarkEnd w:id="0"/>
      <w:r w:rsidR="005679D4">
        <w:t xml:space="preserve"> were are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2C6E" w:rsidTr="00FC2C6E">
        <w:tc>
          <w:tcPr>
            <w:tcW w:w="2394" w:type="dxa"/>
          </w:tcPr>
          <w:p w:rsidR="00FC2C6E" w:rsidRDefault="00FC2C6E">
            <w:r>
              <w:t>UMC’s for 2010</w:t>
            </w:r>
          </w:p>
        </w:tc>
        <w:tc>
          <w:tcPr>
            <w:tcW w:w="2394" w:type="dxa"/>
          </w:tcPr>
          <w:p w:rsidR="00FC2C6E" w:rsidRDefault="00FC2C6E">
            <w:r>
              <w:t>A</w:t>
            </w:r>
          </w:p>
        </w:tc>
        <w:tc>
          <w:tcPr>
            <w:tcW w:w="2394" w:type="dxa"/>
          </w:tcPr>
          <w:p w:rsidR="00FC2C6E" w:rsidRDefault="00FC2C6E">
            <w:r>
              <w:t>B</w:t>
            </w:r>
          </w:p>
        </w:tc>
        <w:tc>
          <w:tcPr>
            <w:tcW w:w="2394" w:type="dxa"/>
          </w:tcPr>
          <w:p w:rsidR="00FC2C6E" w:rsidRDefault="00FC2C6E">
            <w:r>
              <w:t>C</w:t>
            </w:r>
          </w:p>
        </w:tc>
      </w:tr>
      <w:tr w:rsidR="00FC2C6E" w:rsidTr="00FC2C6E">
        <w:tc>
          <w:tcPr>
            <w:tcW w:w="2394" w:type="dxa"/>
          </w:tcPr>
          <w:p w:rsidR="00FC2C6E" w:rsidRDefault="00FC2C6E">
            <w:r>
              <w:t>Actual units packaged</w:t>
            </w:r>
          </w:p>
        </w:tc>
        <w:tc>
          <w:tcPr>
            <w:tcW w:w="2394" w:type="dxa"/>
          </w:tcPr>
          <w:p w:rsidR="00FC2C6E" w:rsidRDefault="00FC2C6E">
            <w:r>
              <w:t>67M</w:t>
            </w:r>
          </w:p>
        </w:tc>
        <w:tc>
          <w:tcPr>
            <w:tcW w:w="2394" w:type="dxa"/>
          </w:tcPr>
          <w:p w:rsidR="00FC2C6E" w:rsidRDefault="00FC2C6E">
            <w:r>
              <w:t>73M</w:t>
            </w:r>
          </w:p>
        </w:tc>
        <w:tc>
          <w:tcPr>
            <w:tcW w:w="2394" w:type="dxa"/>
          </w:tcPr>
          <w:p w:rsidR="00FC2C6E" w:rsidRDefault="00FC2C6E">
            <w:r>
              <w:t>49M</w:t>
            </w:r>
          </w:p>
        </w:tc>
      </w:tr>
      <w:tr w:rsidR="00FC2C6E" w:rsidTr="00FC2C6E">
        <w:tc>
          <w:tcPr>
            <w:tcW w:w="2394" w:type="dxa"/>
          </w:tcPr>
          <w:p w:rsidR="00FC2C6E" w:rsidRDefault="00FC2C6E">
            <w:r>
              <w:t>Direct Labor per unit</w:t>
            </w:r>
          </w:p>
        </w:tc>
        <w:tc>
          <w:tcPr>
            <w:tcW w:w="2394" w:type="dxa"/>
          </w:tcPr>
          <w:p w:rsidR="00FC2C6E" w:rsidRDefault="00FC2C6E">
            <w:r>
              <w:t>$.15</w:t>
            </w:r>
          </w:p>
        </w:tc>
        <w:tc>
          <w:tcPr>
            <w:tcW w:w="2394" w:type="dxa"/>
          </w:tcPr>
          <w:p w:rsidR="00FC2C6E" w:rsidRDefault="00FC2C6E">
            <w:r>
              <w:t>.15</w:t>
            </w:r>
          </w:p>
        </w:tc>
        <w:tc>
          <w:tcPr>
            <w:tcW w:w="2394" w:type="dxa"/>
          </w:tcPr>
          <w:p w:rsidR="00FC2C6E" w:rsidRDefault="00FC2C6E">
            <w:r>
              <w:t>.135</w:t>
            </w:r>
          </w:p>
        </w:tc>
      </w:tr>
      <w:tr w:rsidR="00FC2C6E" w:rsidTr="00FC2C6E">
        <w:tc>
          <w:tcPr>
            <w:tcW w:w="2394" w:type="dxa"/>
          </w:tcPr>
          <w:p w:rsidR="00FC2C6E" w:rsidRDefault="00FC2C6E">
            <w:r>
              <w:t>Direct materials per unit</w:t>
            </w:r>
          </w:p>
        </w:tc>
        <w:tc>
          <w:tcPr>
            <w:tcW w:w="2394" w:type="dxa"/>
          </w:tcPr>
          <w:p w:rsidR="00FC2C6E" w:rsidRDefault="00FC2C6E">
            <w:r>
              <w:t>$.50</w:t>
            </w:r>
          </w:p>
        </w:tc>
        <w:tc>
          <w:tcPr>
            <w:tcW w:w="2394" w:type="dxa"/>
          </w:tcPr>
          <w:p w:rsidR="00FC2C6E" w:rsidRDefault="00FC2C6E">
            <w:r>
              <w:t>.52</w:t>
            </w:r>
          </w:p>
        </w:tc>
        <w:tc>
          <w:tcPr>
            <w:tcW w:w="2394" w:type="dxa"/>
          </w:tcPr>
          <w:p w:rsidR="00FC2C6E" w:rsidRDefault="00FC2C6E">
            <w:r>
              <w:t>.55</w:t>
            </w:r>
          </w:p>
        </w:tc>
      </w:tr>
      <w:tr w:rsidR="00FC2C6E" w:rsidTr="00FC2C6E">
        <w:tc>
          <w:tcPr>
            <w:tcW w:w="2394" w:type="dxa"/>
          </w:tcPr>
          <w:p w:rsidR="00FC2C6E" w:rsidRDefault="00FC2C6E">
            <w:r>
              <w:t>Actual overhead charge</w:t>
            </w:r>
          </w:p>
        </w:tc>
        <w:tc>
          <w:tcPr>
            <w:tcW w:w="2394" w:type="dxa"/>
          </w:tcPr>
          <w:p w:rsidR="00FC2C6E" w:rsidRDefault="00FC2C6E">
            <w:r>
              <w:t>$12.7M</w:t>
            </w:r>
          </w:p>
        </w:tc>
        <w:tc>
          <w:tcPr>
            <w:tcW w:w="2394" w:type="dxa"/>
          </w:tcPr>
          <w:p w:rsidR="00FC2C6E" w:rsidRDefault="00FC2C6E">
            <w:r>
              <w:t>14.7M</w:t>
            </w:r>
          </w:p>
        </w:tc>
        <w:tc>
          <w:tcPr>
            <w:tcW w:w="2394" w:type="dxa"/>
          </w:tcPr>
          <w:p w:rsidR="00FC2C6E" w:rsidRDefault="00FC2C6E">
            <w:r>
              <w:t>14.3M</w:t>
            </w:r>
          </w:p>
        </w:tc>
      </w:tr>
      <w:tr w:rsidR="00FC2C6E" w:rsidTr="00FC2C6E">
        <w:tc>
          <w:tcPr>
            <w:tcW w:w="2394" w:type="dxa"/>
          </w:tcPr>
          <w:p w:rsidR="00FC2C6E" w:rsidRDefault="00FC2C6E">
            <w:r>
              <w:t>Actual machine hours</w:t>
            </w:r>
          </w:p>
        </w:tc>
        <w:tc>
          <w:tcPr>
            <w:tcW w:w="2394" w:type="dxa"/>
          </w:tcPr>
          <w:p w:rsidR="00FC2C6E" w:rsidRDefault="00FC2C6E">
            <w:r>
              <w:t>58772</w:t>
            </w:r>
          </w:p>
        </w:tc>
        <w:tc>
          <w:tcPr>
            <w:tcW w:w="2394" w:type="dxa"/>
          </w:tcPr>
          <w:p w:rsidR="00FC2C6E" w:rsidRDefault="00FC2C6E">
            <w:r>
              <w:t>64035</w:t>
            </w:r>
          </w:p>
        </w:tc>
        <w:tc>
          <w:tcPr>
            <w:tcW w:w="2394" w:type="dxa"/>
          </w:tcPr>
          <w:p w:rsidR="00FC2C6E" w:rsidRDefault="00FC2C6E">
            <w:r>
              <w:t>42982</w:t>
            </w:r>
          </w:p>
        </w:tc>
      </w:tr>
      <w:tr w:rsidR="00FC2C6E" w:rsidTr="00FC2C6E">
        <w:tc>
          <w:tcPr>
            <w:tcW w:w="2394" w:type="dxa"/>
          </w:tcPr>
          <w:p w:rsidR="00FC2C6E" w:rsidRDefault="00FC2C6E"/>
        </w:tc>
        <w:tc>
          <w:tcPr>
            <w:tcW w:w="2394" w:type="dxa"/>
          </w:tcPr>
          <w:p w:rsidR="00FC2C6E" w:rsidRDefault="00FC2C6E"/>
        </w:tc>
        <w:tc>
          <w:tcPr>
            <w:tcW w:w="2394" w:type="dxa"/>
          </w:tcPr>
          <w:p w:rsidR="00FC2C6E" w:rsidRDefault="00FC2C6E"/>
        </w:tc>
        <w:tc>
          <w:tcPr>
            <w:tcW w:w="2394" w:type="dxa"/>
          </w:tcPr>
          <w:p w:rsidR="00FC2C6E" w:rsidRDefault="00FC2C6E"/>
        </w:tc>
      </w:tr>
      <w:tr w:rsidR="00FC2C6E" w:rsidTr="00FC2C6E">
        <w:tc>
          <w:tcPr>
            <w:tcW w:w="2394" w:type="dxa"/>
          </w:tcPr>
          <w:p w:rsidR="00FC2C6E" w:rsidRDefault="00FC2C6E"/>
        </w:tc>
        <w:tc>
          <w:tcPr>
            <w:tcW w:w="2394" w:type="dxa"/>
          </w:tcPr>
          <w:p w:rsidR="00FC2C6E" w:rsidRDefault="00FC2C6E"/>
        </w:tc>
        <w:tc>
          <w:tcPr>
            <w:tcW w:w="2394" w:type="dxa"/>
          </w:tcPr>
          <w:p w:rsidR="00FC2C6E" w:rsidRDefault="00FC2C6E"/>
        </w:tc>
        <w:tc>
          <w:tcPr>
            <w:tcW w:w="2394" w:type="dxa"/>
          </w:tcPr>
          <w:p w:rsidR="00FC2C6E" w:rsidRDefault="00FC2C6E"/>
        </w:tc>
      </w:tr>
    </w:tbl>
    <w:p w:rsidR="00FC2C6E" w:rsidRDefault="00FC2C6E"/>
    <w:p w:rsidR="00386440" w:rsidRDefault="00386440">
      <w:r>
        <w:rPr>
          <w:rFonts w:ascii="Helvetica" w:hAnsi="Helvetica" w:cs="Helvetica"/>
          <w:color w:val="333333"/>
          <w:sz w:val="21"/>
          <w:szCs w:val="21"/>
          <w:shd w:val="clear" w:color="auto" w:fill="F8F9FE"/>
        </w:rPr>
        <w:t>a. Calculate all variances.  Which department best manages the overhead that is within its control?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8F9FE"/>
        </w:rPr>
        <w:t>b. How would you recommend that the division distribute the fixed overhead that is not controllable by the departments?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8F9FE"/>
        </w:rPr>
        <w:t>c. Given the reduced demand, which department should reduce volume?  Why?</w:t>
      </w:r>
    </w:p>
    <w:sectPr w:rsidR="0038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8E"/>
    <w:rsid w:val="00021FE6"/>
    <w:rsid w:val="0008736E"/>
    <w:rsid w:val="0009288E"/>
    <w:rsid w:val="0023349D"/>
    <w:rsid w:val="00267EE2"/>
    <w:rsid w:val="00296956"/>
    <w:rsid w:val="002A36B8"/>
    <w:rsid w:val="00356B09"/>
    <w:rsid w:val="00376BED"/>
    <w:rsid w:val="00386440"/>
    <w:rsid w:val="00392933"/>
    <w:rsid w:val="003E37E7"/>
    <w:rsid w:val="004D3C8F"/>
    <w:rsid w:val="004E6072"/>
    <w:rsid w:val="005679D4"/>
    <w:rsid w:val="005F372E"/>
    <w:rsid w:val="00681D90"/>
    <w:rsid w:val="00736C98"/>
    <w:rsid w:val="007D6786"/>
    <w:rsid w:val="009415D6"/>
    <w:rsid w:val="00A112EF"/>
    <w:rsid w:val="00AB614A"/>
    <w:rsid w:val="00B818E8"/>
    <w:rsid w:val="00BF6BFF"/>
    <w:rsid w:val="00CA4355"/>
    <w:rsid w:val="00CD6ECE"/>
    <w:rsid w:val="00D03DC2"/>
    <w:rsid w:val="00D05863"/>
    <w:rsid w:val="00D066AA"/>
    <w:rsid w:val="00D25092"/>
    <w:rsid w:val="00D959B7"/>
    <w:rsid w:val="00F767CB"/>
    <w:rsid w:val="00F81D14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dcterms:created xsi:type="dcterms:W3CDTF">2012-12-09T21:20:00Z</dcterms:created>
  <dcterms:modified xsi:type="dcterms:W3CDTF">2012-12-09T21:20:00Z</dcterms:modified>
</cp:coreProperties>
</file>