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45A" w:rsidRPr="003D045A" w:rsidRDefault="003D045A" w:rsidP="003D045A">
      <w:pPr>
        <w:rPr>
          <w:u w:val="single"/>
        </w:rPr>
      </w:pPr>
      <w:bookmarkStart w:id="0" w:name="_GoBack"/>
      <w:r w:rsidRPr="003D045A">
        <w:rPr>
          <w:u w:val="single"/>
        </w:rPr>
        <w:t>Cost of Capital</w:t>
      </w:r>
    </w:p>
    <w:bookmarkEnd w:id="0"/>
    <w:p w:rsidR="003D045A" w:rsidRDefault="003D045A" w:rsidP="003D045A">
      <w:r>
        <w:t>Pepsi Cola bottling company i</w:t>
      </w:r>
      <w:r>
        <w:t>s at its optimal capital structure of 70% common equity and 30% debt.  MPC’s WACC is 14%.  MPC has a marginal tax rate of 40%.  Next year’s dividend is expected to be $2.00 per share and MPC has a constant growth in earnings and dividends of 6%.  The cost of common equity used in the WACC is based on retained earnings, while the before tax cost of debt is 12%.  What is MPC’s current equilibrium stock price?</w:t>
      </w:r>
    </w:p>
    <w:p w:rsidR="00455784" w:rsidRDefault="003D045A" w:rsidP="003D045A">
      <w:proofErr w:type="gramStart"/>
      <w:r>
        <w:t>a</w:t>
      </w:r>
      <w:proofErr w:type="gramEnd"/>
      <w:r>
        <w:t>. $12.73</w:t>
      </w:r>
      <w:r>
        <w:tab/>
        <w:t xml:space="preserve">    b. $17.23 </w:t>
      </w:r>
      <w:r>
        <w:tab/>
        <w:t xml:space="preserve">   c. $18.33</w:t>
      </w:r>
      <w:r>
        <w:tab/>
        <w:t xml:space="preserve"> d. </w:t>
      </w:r>
      <w:r>
        <w:t xml:space="preserve">$20.37 </w:t>
      </w:r>
      <w:r>
        <w:tab/>
        <w:t>e. Other Answer</w:t>
      </w:r>
    </w:p>
    <w:sectPr w:rsidR="004557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45A"/>
    <w:rsid w:val="003D045A"/>
    <w:rsid w:val="0045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ROB</cp:lastModifiedBy>
  <cp:revision>1</cp:revision>
  <dcterms:created xsi:type="dcterms:W3CDTF">2012-12-09T05:30:00Z</dcterms:created>
  <dcterms:modified xsi:type="dcterms:W3CDTF">2012-12-09T05:32:00Z</dcterms:modified>
</cp:coreProperties>
</file>