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69" w:rsidRPr="00176069" w:rsidRDefault="00176069" w:rsidP="00176069">
      <w:pPr>
        <w:spacing w:after="0" w:line="240" w:lineRule="auto"/>
        <w:rPr>
          <w:rFonts w:ascii="Arial" w:eastAsia="Times New Roman" w:hAnsi="Arial" w:cs="Arial"/>
          <w:color w:val="000000"/>
          <w:sz w:val="45"/>
          <w:szCs w:val="45"/>
        </w:rPr>
      </w:pPr>
      <w:r>
        <w:rPr>
          <w:rFonts w:ascii="Arial" w:eastAsia="Times New Roman" w:hAnsi="Arial" w:cs="Arial"/>
          <w:color w:val="000000"/>
          <w:sz w:val="45"/>
          <w:szCs w:val="45"/>
        </w:rPr>
        <w:t>Ch 6-</w:t>
      </w:r>
      <w:r w:rsidRPr="00176069">
        <w:rPr>
          <w:rFonts w:ascii="Arial" w:eastAsia="Times New Roman" w:hAnsi="Arial" w:cs="Arial"/>
          <w:color w:val="000000"/>
          <w:sz w:val="45"/>
          <w:szCs w:val="45"/>
        </w:rPr>
        <w:t>3.</w:t>
      </w:r>
    </w:p>
    <w:p w:rsidR="00176069" w:rsidRPr="00176069" w:rsidRDefault="00176069" w:rsidP="00176069">
      <w:pPr>
        <w:spacing w:after="0" w:line="240" w:lineRule="auto"/>
        <w:rPr>
          <w:rFonts w:ascii="Arial" w:eastAsia="Times New Roman" w:hAnsi="Arial" w:cs="Arial"/>
          <w:color w:val="000000"/>
          <w:sz w:val="18"/>
          <w:szCs w:val="18"/>
        </w:rPr>
      </w:pPr>
      <w:r w:rsidRPr="00176069">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176069" w:rsidRPr="00176069" w:rsidTr="00176069">
        <w:trPr>
          <w:tblCellSpacing w:w="0" w:type="dxa"/>
        </w:trPr>
        <w:tc>
          <w:tcPr>
            <w:tcW w:w="50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Park Company reported the following March purchases and sales data for its only product.</w:t>
            </w:r>
          </w:p>
        </w:tc>
      </w:tr>
    </w:tbl>
    <w:p w:rsidR="00176069" w:rsidRPr="00176069" w:rsidRDefault="00176069" w:rsidP="00176069">
      <w:pPr>
        <w:spacing w:after="0" w:line="240" w:lineRule="auto"/>
        <w:rPr>
          <w:rFonts w:ascii="Arial" w:eastAsia="Times New Roman" w:hAnsi="Arial" w:cs="Arial"/>
          <w:color w:val="000000"/>
          <w:sz w:val="18"/>
          <w:szCs w:val="18"/>
        </w:rPr>
      </w:pPr>
      <w:r w:rsidRPr="00176069">
        <w:rPr>
          <w:rFonts w:ascii="Arial" w:eastAsia="Times New Roman" w:hAnsi="Arial" w:cs="Arial"/>
          <w:color w:val="000000"/>
          <w:sz w:val="18"/>
          <w:szCs w:val="18"/>
        </w:rPr>
        <w:t>  </w:t>
      </w:r>
    </w:p>
    <w:tbl>
      <w:tblPr>
        <w:tblW w:w="8700" w:type="dxa"/>
        <w:tblCellSpacing w:w="0" w:type="dxa"/>
        <w:tblCellMar>
          <w:left w:w="0" w:type="dxa"/>
          <w:right w:w="0" w:type="dxa"/>
        </w:tblCellMar>
        <w:tblLook w:val="04A0" w:firstRow="1" w:lastRow="0" w:firstColumn="1" w:lastColumn="0" w:noHBand="0" w:noVBand="1"/>
      </w:tblPr>
      <w:tblGrid>
        <w:gridCol w:w="56"/>
        <w:gridCol w:w="400"/>
        <w:gridCol w:w="223"/>
        <w:gridCol w:w="56"/>
        <w:gridCol w:w="890"/>
        <w:gridCol w:w="56"/>
        <w:gridCol w:w="1440"/>
        <w:gridCol w:w="1440"/>
        <w:gridCol w:w="612"/>
        <w:gridCol w:w="117"/>
        <w:gridCol w:w="1440"/>
        <w:gridCol w:w="1440"/>
        <w:gridCol w:w="56"/>
        <w:gridCol w:w="1440"/>
        <w:gridCol w:w="1440"/>
        <w:gridCol w:w="871"/>
        <w:gridCol w:w="56"/>
      </w:tblGrid>
      <w:tr w:rsidR="00176069" w:rsidRPr="00176069" w:rsidTr="00176069">
        <w:trPr>
          <w:tblCellSpacing w:w="0" w:type="dxa"/>
        </w:trPr>
        <w:tc>
          <w:tcPr>
            <w:tcW w:w="0" w:type="auto"/>
            <w:gridSpan w:val="3"/>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Date</w:t>
            </w:r>
          </w:p>
        </w:tc>
        <w:tc>
          <w:tcPr>
            <w:tcW w:w="0" w:type="auto"/>
            <w:gridSpan w:val="2"/>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Activities</w:t>
            </w:r>
          </w:p>
        </w:tc>
        <w:tc>
          <w:tcPr>
            <w:tcW w:w="0" w:type="auto"/>
            <w:gridSpan w:val="7"/>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Units Acquired at Cost</w:t>
            </w:r>
          </w:p>
        </w:tc>
        <w:tc>
          <w:tcPr>
            <w:tcW w:w="0" w:type="auto"/>
            <w:gridSpan w:val="5"/>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Units Sold at Retail</w:t>
            </w:r>
          </w:p>
        </w:tc>
      </w:tr>
      <w:tr w:rsidR="00176069" w:rsidRPr="00176069" w:rsidTr="00176069">
        <w:trPr>
          <w:tblCellSpacing w:w="0" w:type="dxa"/>
        </w:trPr>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Mar.</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1</w:t>
            </w:r>
          </w:p>
        </w:tc>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Beginning inventory</w:t>
            </w:r>
          </w:p>
        </w:tc>
        <w:tc>
          <w:tcPr>
            <w:tcW w:w="2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320</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5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 $10.40</w:t>
            </w:r>
          </w:p>
        </w:tc>
        <w:tc>
          <w:tcPr>
            <w:tcW w:w="20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w:t>
            </w:r>
          </w:p>
        </w:tc>
        <w:tc>
          <w:tcPr>
            <w:tcW w:w="1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3,328</w:t>
            </w:r>
          </w:p>
        </w:tc>
        <w:tc>
          <w:tcPr>
            <w:tcW w:w="2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Mar.</w:t>
            </w:r>
          </w:p>
        </w:tc>
        <w:tc>
          <w:tcPr>
            <w:tcW w:w="1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10</w:t>
            </w:r>
          </w:p>
        </w:tc>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Sales</w:t>
            </w:r>
          </w:p>
        </w:tc>
        <w:tc>
          <w:tcPr>
            <w:tcW w:w="2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5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175</w:t>
            </w:r>
          </w:p>
        </w:tc>
        <w:tc>
          <w:tcPr>
            <w:tcW w:w="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2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@$18.40</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Mar.</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20</w:t>
            </w:r>
          </w:p>
        </w:tc>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Purchase</w:t>
            </w:r>
          </w:p>
        </w:tc>
        <w:tc>
          <w:tcPr>
            <w:tcW w:w="2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390</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5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 $9.40</w:t>
            </w:r>
          </w:p>
        </w:tc>
        <w:tc>
          <w:tcPr>
            <w:tcW w:w="20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w:t>
            </w:r>
          </w:p>
        </w:tc>
        <w:tc>
          <w:tcPr>
            <w:tcW w:w="1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3,666</w:t>
            </w:r>
          </w:p>
        </w:tc>
        <w:tc>
          <w:tcPr>
            <w:tcW w:w="2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Mar.</w:t>
            </w:r>
          </w:p>
        </w:tc>
        <w:tc>
          <w:tcPr>
            <w:tcW w:w="1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25</w:t>
            </w:r>
          </w:p>
        </w:tc>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Sales</w:t>
            </w:r>
          </w:p>
        </w:tc>
        <w:tc>
          <w:tcPr>
            <w:tcW w:w="2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5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315</w:t>
            </w:r>
          </w:p>
        </w:tc>
        <w:tc>
          <w:tcPr>
            <w:tcW w:w="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2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@$18.40</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Mar.</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30</w:t>
            </w:r>
          </w:p>
        </w:tc>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Purchase</w:t>
            </w:r>
          </w:p>
        </w:tc>
        <w:tc>
          <w:tcPr>
            <w:tcW w:w="2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260</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5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 $8.40</w:t>
            </w:r>
          </w:p>
        </w:tc>
        <w:tc>
          <w:tcPr>
            <w:tcW w:w="20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w:t>
            </w:r>
          </w:p>
        </w:tc>
        <w:tc>
          <w:tcPr>
            <w:tcW w:w="1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2,184</w:t>
            </w:r>
          </w:p>
        </w:tc>
        <w:tc>
          <w:tcPr>
            <w:tcW w:w="2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25" style="width:0;height:.75pt" o:hralign="right" o:hrstd="t" o:hrnoshade="t" o:hr="t" fillcolor="#a0a0a0" stroked="f"/>
              </w:pic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26" style="width:0;height:.75pt" o:hralign="right" o:hrstd="t" o:hrnoshade="t" o:hr="t" fillcolor="#a0a0a0" stroked="f"/>
              </w:pict>
            </w:r>
          </w:p>
        </w:tc>
        <w:tc>
          <w:tcPr>
            <w:tcW w:w="5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27" style="width:0;height:.75pt" o:hralign="right" o:hrstd="t" o:hrnoshade="t" o:hr="t" fillcolor="#a0a0a0" stroked="f"/>
              </w:pic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28" style="width:0;height:.75pt" o:hralign="right" o:hrstd="t" o:hrnoshade="t" o:hr="t" fillcolor="#a0a0a0" stroked="f"/>
              </w:pict>
            </w:r>
          </w:p>
        </w:tc>
        <w:tc>
          <w:tcPr>
            <w:tcW w:w="2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29" style="width:0;height:.75pt" o:hralign="right" o:hrstd="t" o:hrnoshade="t" o:hr="t" fillcolor="#a0a0a0" stroked="f"/>
              </w:pict>
            </w:r>
          </w:p>
        </w:tc>
        <w:tc>
          <w:tcPr>
            <w:tcW w:w="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30" style="width:0;height:.75pt" o:hralign="right" o:hrstd="t" o:hrnoshade="t" o:hr="t" fillcolor="#a0a0a0" stroked="f"/>
              </w:pict>
            </w:r>
          </w:p>
        </w:tc>
        <w:tc>
          <w:tcPr>
            <w:tcW w:w="2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Totals</w:t>
            </w:r>
          </w:p>
        </w:tc>
        <w:tc>
          <w:tcPr>
            <w:tcW w:w="2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970</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5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9,178</w:t>
            </w:r>
          </w:p>
        </w:tc>
        <w:tc>
          <w:tcPr>
            <w:tcW w:w="2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490</w:t>
            </w:r>
          </w:p>
        </w:tc>
        <w:tc>
          <w:tcPr>
            <w:tcW w:w="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units</w:t>
            </w:r>
          </w:p>
        </w:tc>
        <w:tc>
          <w:tcPr>
            <w:tcW w:w="2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5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1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1" style="width:0;height:.75pt" o:hralign="right" o:hrstd="t" o:hrnoshade="t" o:hr="t" fillcolor="#a0a0a0" stroked="f"/>
              </w:pict>
            </w:r>
          </w:p>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2" style="width:0;height:.75pt" o:hralign="right" o:hrstd="t" o:hrnoshade="t" o:hr="t" fillcolor="#a0a0a0" stroked="f"/>
              </w:pic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33" style="width:0;height:.75pt" o:hralign="right" o:hrstd="t" o:hrnoshade="t" o:hr="t" fillcolor="#a0a0a0" stroked="f"/>
              </w:pict>
            </w:r>
          </w:p>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34" style="width:0;height:.75pt" o:hralign="right" o:hrstd="t" o:hrnoshade="t" o:hr="t" fillcolor="#a0a0a0" stroked="f"/>
              </w:pict>
            </w:r>
          </w:p>
        </w:tc>
        <w:tc>
          <w:tcPr>
            <w:tcW w:w="5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200" w:type="pct"/>
            <w:shd w:val="clear" w:color="auto" w:fill="F7F7F7"/>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 </w:t>
            </w:r>
          </w:p>
        </w:tc>
        <w:tc>
          <w:tcPr>
            <w:tcW w:w="1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5" style="width:0;height:.75pt" o:hralign="right" o:hrstd="t" o:hrnoshade="t" o:hr="t" fillcolor="#a0a0a0" stroked="f"/>
              </w:pict>
            </w:r>
          </w:p>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6" style="width:0;height:.75pt" o:hralign="right" o:hrstd="t" o:hrnoshade="t" o:hr="t" fillcolor="#a0a0a0" stroked="f"/>
              </w:pic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7" style="width:0;height:.75pt" o:hralign="right" o:hrstd="t" o:hrnoshade="t" o:hr="t" fillcolor="#a0a0a0" stroked="f"/>
              </w:pict>
            </w:r>
          </w:p>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8" style="width:0;height:.75pt" o:hralign="right" o:hrstd="t" o:hrnoshade="t" o:hr="t" fillcolor="#a0a0a0" stroked="f"/>
              </w:pict>
            </w:r>
          </w:p>
        </w:tc>
        <w:tc>
          <w:tcPr>
            <w:tcW w:w="2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39" style="width:0;height:.75pt" o:hralign="right" o:hrstd="t" o:hrnoshade="t" o:hr="t" fillcolor="#a0a0a0" stroked="f"/>
              </w:pict>
            </w:r>
          </w:p>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pict>
                <v:rect id="_x0000_i1040" style="width:0;height:.75pt" o:hralign="right" o:hrstd="t" o:hrnoshade="t" o:hr="t" fillcolor="#a0a0a0" stroked="f"/>
              </w:pict>
            </w:r>
          </w:p>
        </w:tc>
        <w:tc>
          <w:tcPr>
            <w:tcW w:w="15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41" style="width:0;height:.75pt" o:hralign="right" o:hrstd="t" o:hrnoshade="t" o:hr="t" fillcolor="#a0a0a0" stroked="f"/>
              </w:pict>
            </w:r>
          </w:p>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42" style="width:0;height:.75pt" o:hralign="right" o:hrstd="t" o:hrnoshade="t" o:hr="t" fillcolor="#a0a0a0" stroked="f"/>
              </w:pict>
            </w:r>
          </w:p>
        </w:tc>
        <w:tc>
          <w:tcPr>
            <w:tcW w:w="250" w:type="pct"/>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300" w:type="pct"/>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r>
      <w:tr w:rsidR="00176069" w:rsidRPr="00176069" w:rsidTr="00176069">
        <w:trPr>
          <w:tblCellSpacing w:w="0" w:type="dxa"/>
        </w:trPr>
        <w:tc>
          <w:tcPr>
            <w:tcW w:w="0" w:type="auto"/>
            <w:gridSpan w:val="1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pict>
                <v:rect id="_x0000_i1043" style="width:9in;height:3.75pt" o:hrstd="t" o:hrnoshade="t" o:hr="t" fillcolor="#d7dce6" stroked="f"/>
              </w:pict>
            </w:r>
          </w:p>
        </w:tc>
      </w:tr>
    </w:tbl>
    <w:p w:rsidR="00176069" w:rsidRPr="00176069" w:rsidRDefault="00176069" w:rsidP="00176069">
      <w:pPr>
        <w:spacing w:after="0" w:line="240" w:lineRule="auto"/>
        <w:rPr>
          <w:rFonts w:ascii="Arial" w:eastAsia="Times New Roman" w:hAnsi="Arial" w:cs="Arial"/>
          <w:color w:val="000000"/>
          <w:sz w:val="18"/>
          <w:szCs w:val="18"/>
        </w:rPr>
      </w:pPr>
      <w:r w:rsidRPr="00176069">
        <w:rPr>
          <w:rFonts w:ascii="Arial" w:eastAsia="Times New Roman" w:hAnsi="Arial" w:cs="Arial"/>
          <w:color w:val="000000"/>
          <w:sz w:val="18"/>
          <w:szCs w:val="18"/>
        </w:rPr>
        <w:t>  </w:t>
      </w:r>
    </w:p>
    <w:tbl>
      <w:tblPr>
        <w:tblW w:w="9000" w:type="dxa"/>
        <w:tblCellSpacing w:w="0" w:type="dxa"/>
        <w:tblCellMar>
          <w:left w:w="0" w:type="dxa"/>
          <w:right w:w="0" w:type="dxa"/>
        </w:tblCellMar>
        <w:tblLook w:val="04A0" w:firstRow="1" w:lastRow="0" w:firstColumn="1" w:lastColumn="0" w:noHBand="0" w:noVBand="1"/>
      </w:tblPr>
      <w:tblGrid>
        <w:gridCol w:w="9000"/>
      </w:tblGrid>
      <w:tr w:rsidR="00176069" w:rsidRPr="00176069" w:rsidTr="00176069">
        <w:trPr>
          <w:tblCellSpacing w:w="0" w:type="dxa"/>
        </w:trPr>
        <w:tc>
          <w:tcPr>
            <w:tcW w:w="500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Park uses a periodic inventory system. For specific identification, ending inventory consists of 480 units, where 260 are from the March 30 purchase, 80 are from the March 20 purchase, and 140 are from beginning inventory. Determine the cost assigned to ending inventory and to cost of goods sold using (</w:t>
            </w:r>
            <w:r w:rsidRPr="00176069">
              <w:rPr>
                <w:rFonts w:ascii="Arial" w:eastAsia="Times New Roman" w:hAnsi="Arial" w:cs="Arial"/>
                <w:i/>
                <w:iCs/>
                <w:sz w:val="20"/>
                <w:szCs w:val="20"/>
              </w:rPr>
              <w:t>a</w:t>
            </w:r>
            <w:r w:rsidRPr="00176069">
              <w:rPr>
                <w:rFonts w:ascii="Arial" w:eastAsia="Times New Roman" w:hAnsi="Arial" w:cs="Arial"/>
                <w:sz w:val="20"/>
                <w:szCs w:val="20"/>
              </w:rPr>
              <w:t>) specific identification, (</w:t>
            </w:r>
            <w:r w:rsidRPr="00176069">
              <w:rPr>
                <w:rFonts w:ascii="Arial" w:eastAsia="Times New Roman" w:hAnsi="Arial" w:cs="Arial"/>
                <w:i/>
                <w:iCs/>
                <w:sz w:val="20"/>
                <w:szCs w:val="20"/>
              </w:rPr>
              <w:t>b</w:t>
            </w:r>
            <w:r w:rsidRPr="00176069">
              <w:rPr>
                <w:rFonts w:ascii="Arial" w:eastAsia="Times New Roman" w:hAnsi="Arial" w:cs="Arial"/>
                <w:sz w:val="20"/>
                <w:szCs w:val="20"/>
              </w:rPr>
              <w:t>) weighted average, (</w:t>
            </w:r>
            <w:r w:rsidRPr="00176069">
              <w:rPr>
                <w:rFonts w:ascii="Arial" w:eastAsia="Times New Roman" w:hAnsi="Arial" w:cs="Arial"/>
                <w:i/>
                <w:iCs/>
                <w:sz w:val="20"/>
                <w:szCs w:val="20"/>
              </w:rPr>
              <w:t>c</w:t>
            </w:r>
            <w:r w:rsidRPr="00176069">
              <w:rPr>
                <w:rFonts w:ascii="Arial" w:eastAsia="Times New Roman" w:hAnsi="Arial" w:cs="Arial"/>
                <w:sz w:val="20"/>
                <w:szCs w:val="20"/>
              </w:rPr>
              <w:t>) FIFO, and (</w:t>
            </w:r>
            <w:r w:rsidRPr="00176069">
              <w:rPr>
                <w:rFonts w:ascii="Arial" w:eastAsia="Times New Roman" w:hAnsi="Arial" w:cs="Arial"/>
                <w:i/>
                <w:iCs/>
                <w:sz w:val="20"/>
                <w:szCs w:val="20"/>
              </w:rPr>
              <w:t>d</w:t>
            </w:r>
            <w:r w:rsidRPr="00176069">
              <w:rPr>
                <w:rFonts w:ascii="Arial" w:eastAsia="Times New Roman" w:hAnsi="Arial" w:cs="Arial"/>
                <w:sz w:val="20"/>
                <w:szCs w:val="20"/>
              </w:rPr>
              <w:t>) LIFO. </w:t>
            </w:r>
            <w:r w:rsidRPr="00176069">
              <w:rPr>
                <w:rFonts w:ascii="Arial" w:eastAsia="Times New Roman" w:hAnsi="Arial" w:cs="Arial"/>
                <w:b/>
                <w:bCs/>
                <w:color w:val="FF0000"/>
                <w:sz w:val="20"/>
                <w:szCs w:val="20"/>
              </w:rPr>
              <w:t>(Due to rounding, the sum of Cost of Goods Sold and Ending inventory may not equal the Cost of Good available for sales. Round your per unit costs to 3 decimal places and final answers to the nearest dollar amount. Omit the "$" sign in your response.)</w:t>
            </w:r>
          </w:p>
        </w:tc>
      </w:tr>
    </w:tbl>
    <w:p w:rsidR="00176069" w:rsidRPr="00176069" w:rsidRDefault="00176069" w:rsidP="00176069">
      <w:pPr>
        <w:spacing w:after="0" w:line="240" w:lineRule="auto"/>
        <w:rPr>
          <w:rFonts w:ascii="Arial" w:eastAsia="Times New Roman" w:hAnsi="Arial" w:cs="Arial"/>
          <w:color w:val="000000"/>
          <w:sz w:val="18"/>
          <w:szCs w:val="18"/>
        </w:rPr>
      </w:pPr>
      <w:r w:rsidRPr="00176069">
        <w:rPr>
          <w:rFonts w:ascii="Arial" w:eastAsia="Times New Roman" w:hAnsi="Arial" w:cs="Arial"/>
          <w:color w:val="000000"/>
          <w:sz w:val="18"/>
          <w:szCs w:val="18"/>
        </w:rPr>
        <w:t>  </w:t>
      </w:r>
    </w:p>
    <w:tbl>
      <w:tblPr>
        <w:tblW w:w="7500" w:type="dxa"/>
        <w:tblCellSpacing w:w="0" w:type="dxa"/>
        <w:tblCellMar>
          <w:left w:w="0" w:type="dxa"/>
          <w:right w:w="0" w:type="dxa"/>
        </w:tblCellMar>
        <w:tblLook w:val="04A0" w:firstRow="1" w:lastRow="0" w:firstColumn="1" w:lastColumn="0" w:noHBand="0" w:noVBand="1"/>
      </w:tblPr>
      <w:tblGrid>
        <w:gridCol w:w="300"/>
        <w:gridCol w:w="2910"/>
        <w:gridCol w:w="210"/>
        <w:gridCol w:w="1935"/>
        <w:gridCol w:w="210"/>
        <w:gridCol w:w="1935"/>
      </w:tblGrid>
      <w:tr w:rsidR="00176069" w:rsidRPr="00176069" w:rsidTr="00176069">
        <w:trPr>
          <w:tblCellSpacing w:w="0" w:type="dxa"/>
        </w:trPr>
        <w:tc>
          <w:tcPr>
            <w:tcW w:w="0" w:type="auto"/>
            <w:shd w:val="clear" w:color="auto" w:fill="D7DCE6"/>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0" w:type="auto"/>
            <w:shd w:val="clear" w:color="auto" w:fill="D7DCE6"/>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t>
            </w:r>
          </w:p>
        </w:tc>
        <w:tc>
          <w:tcPr>
            <w:tcW w:w="0" w:type="auto"/>
            <w:gridSpan w:val="2"/>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Ending inventory</w:t>
            </w:r>
          </w:p>
        </w:tc>
        <w:tc>
          <w:tcPr>
            <w:tcW w:w="0" w:type="auto"/>
            <w:gridSpan w:val="2"/>
            <w:shd w:val="clear" w:color="auto" w:fill="D7DCE6"/>
            <w:vAlign w:val="center"/>
            <w:hideMark/>
          </w:tcPr>
          <w:p w:rsidR="00176069" w:rsidRPr="00176069" w:rsidRDefault="00176069" w:rsidP="00176069">
            <w:pPr>
              <w:spacing w:after="0" w:line="240" w:lineRule="auto"/>
              <w:jc w:val="center"/>
              <w:rPr>
                <w:rFonts w:ascii="Arial" w:eastAsia="Times New Roman" w:hAnsi="Arial" w:cs="Arial"/>
                <w:sz w:val="20"/>
                <w:szCs w:val="20"/>
              </w:rPr>
            </w:pPr>
            <w:r w:rsidRPr="00176069">
              <w:rPr>
                <w:rFonts w:ascii="Arial" w:eastAsia="Times New Roman" w:hAnsi="Arial" w:cs="Arial"/>
                <w:sz w:val="20"/>
                <w:szCs w:val="20"/>
              </w:rPr>
              <w:t>Cost of goods sold</w:t>
            </w:r>
          </w:p>
        </w:tc>
      </w:tr>
      <w:tr w:rsidR="00176069" w:rsidRPr="00176069" w:rsidTr="00176069">
        <w:trPr>
          <w:trHeight w:val="300"/>
          <w:tblCellSpacing w:w="0" w:type="dxa"/>
        </w:trPr>
        <w:tc>
          <w:tcPr>
            <w:tcW w:w="1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(a)</w:t>
            </w:r>
          </w:p>
        </w:tc>
        <w:tc>
          <w:tcPr>
            <w:tcW w:w="1950" w:type="pct"/>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Specific identification</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p>
        </w:tc>
        <w:tc>
          <w:tcPr>
            <w:tcW w:w="1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8.5pt;height:18.4pt" o:ole="">
                  <v:imagedata r:id="rId5" o:title=""/>
                </v:shape>
                <w:control r:id="rId6" w:name="DefaultOcxName" w:shapeid="_x0000_i1086"/>
              </w:object>
            </w:r>
            <w:r w:rsidRPr="00176069">
              <w:rPr>
                <w:rFonts w:ascii="Arial" w:eastAsia="Times New Roman" w:hAnsi="Arial" w:cs="Arial"/>
                <w:sz w:val="20"/>
                <w:szCs w:val="20"/>
              </w:rPr>
              <w:t>       </w:t>
            </w:r>
          </w:p>
        </w:tc>
        <w:tc>
          <w:tcPr>
            <w:tcW w:w="15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p>
        </w:tc>
        <w:tc>
          <w:tcPr>
            <w:tcW w:w="1300" w:type="pct"/>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85" type="#_x0000_t75" style="width:38.5pt;height:18.4pt" o:ole="">
                  <v:imagedata r:id="rId7" o:title=""/>
                </v:shape>
                <w:control r:id="rId8" w:name="DefaultOcxName1" w:shapeid="_x0000_i1085"/>
              </w:object>
            </w:r>
            <w:r w:rsidRPr="00176069">
              <w:rPr>
                <w:rFonts w:ascii="Arial" w:eastAsia="Times New Roman" w:hAnsi="Arial" w:cs="Arial"/>
                <w:sz w:val="20"/>
                <w:szCs w:val="20"/>
              </w:rPr>
              <w:t>        </w:t>
            </w:r>
          </w:p>
        </w:tc>
      </w:tr>
      <w:tr w:rsidR="00176069" w:rsidRPr="00176069" w:rsidTr="00176069">
        <w:trPr>
          <w:trHeight w:val="300"/>
          <w:tblCellSpacing w:w="0" w:type="dxa"/>
        </w:trPr>
        <w:tc>
          <w:tcPr>
            <w:tcW w:w="0" w:type="auto"/>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(b)</w:t>
            </w:r>
          </w:p>
        </w:tc>
        <w:tc>
          <w:tcPr>
            <w:tcW w:w="0" w:type="auto"/>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Weighted average</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87" type="#_x0000_t75" style="width:38.5pt;height:18.4pt" o:ole="">
                  <v:imagedata r:id="rId9" o:title=""/>
                </v:shape>
                <w:control r:id="rId10" w:name="DefaultOcxName2" w:shapeid="_x0000_i1087"/>
              </w:object>
            </w: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bookmarkStart w:id="0" w:name="_GoBack"/>
            <w:r w:rsidRPr="00176069">
              <w:rPr>
                <w:rFonts w:ascii="Arial" w:eastAsia="Times New Roman" w:hAnsi="Arial" w:cs="Arial"/>
                <w:sz w:val="20"/>
                <w:szCs w:val="20"/>
              </w:rPr>
              <w:object w:dxaOrig="1440" w:dyaOrig="1440">
                <v:shape id="_x0000_i1088" type="#_x0000_t75" style="width:38.5pt;height:18.4pt" o:ole="">
                  <v:imagedata r:id="rId9" o:title=""/>
                </v:shape>
                <w:control r:id="rId11" w:name="DefaultOcxName3" w:shapeid="_x0000_i1088"/>
              </w:object>
            </w:r>
            <w:bookmarkEnd w:id="0"/>
            <w:r w:rsidRPr="00176069">
              <w:rPr>
                <w:rFonts w:ascii="Arial" w:eastAsia="Times New Roman" w:hAnsi="Arial" w:cs="Arial"/>
                <w:sz w:val="20"/>
                <w:szCs w:val="20"/>
              </w:rPr>
              <w:t>        </w:t>
            </w:r>
          </w:p>
        </w:tc>
      </w:tr>
      <w:tr w:rsidR="00176069" w:rsidRPr="00176069" w:rsidTr="00176069">
        <w:trPr>
          <w:tblCellSpacing w:w="0" w:type="dxa"/>
        </w:trPr>
        <w:tc>
          <w:tcPr>
            <w:tcW w:w="0" w:type="auto"/>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(c)</w:t>
            </w:r>
          </w:p>
        </w:tc>
        <w:tc>
          <w:tcPr>
            <w:tcW w:w="0" w:type="auto"/>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FIFO</w:t>
            </w:r>
          </w:p>
        </w:tc>
        <w:tc>
          <w:tcPr>
            <w:tcW w:w="0" w:type="auto"/>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82" type="#_x0000_t75" style="width:38.5pt;height:18.4pt" o:ole="">
                  <v:imagedata r:id="rId9" o:title=""/>
                </v:shape>
                <w:control r:id="rId12" w:name="DefaultOcxName4" w:shapeid="_x0000_i1082"/>
              </w:object>
            </w:r>
            <w:r w:rsidRPr="00176069">
              <w:rPr>
                <w:rFonts w:ascii="Arial" w:eastAsia="Times New Roman" w:hAnsi="Arial" w:cs="Arial"/>
                <w:sz w:val="20"/>
                <w:szCs w:val="20"/>
              </w:rPr>
              <w:t>       </w:t>
            </w:r>
          </w:p>
        </w:tc>
        <w:tc>
          <w:tcPr>
            <w:tcW w:w="0" w:type="auto"/>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81" type="#_x0000_t75" style="width:38.5pt;height:18.4pt" o:ole="">
                  <v:imagedata r:id="rId9" o:title=""/>
                </v:shape>
                <w:control r:id="rId13" w:name="DefaultOcxName5" w:shapeid="_x0000_i1081"/>
              </w:object>
            </w:r>
            <w:r w:rsidRPr="00176069">
              <w:rPr>
                <w:rFonts w:ascii="Arial" w:eastAsia="Times New Roman" w:hAnsi="Arial" w:cs="Arial"/>
                <w:sz w:val="20"/>
                <w:szCs w:val="20"/>
              </w:rPr>
              <w:t>        </w:t>
            </w:r>
          </w:p>
        </w:tc>
      </w:tr>
      <w:tr w:rsidR="00176069" w:rsidRPr="00176069" w:rsidTr="00176069">
        <w:trPr>
          <w:tblCellSpacing w:w="0" w:type="dxa"/>
        </w:trPr>
        <w:tc>
          <w:tcPr>
            <w:tcW w:w="0" w:type="auto"/>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(d)</w:t>
            </w:r>
          </w:p>
        </w:tc>
        <w:tc>
          <w:tcPr>
            <w:tcW w:w="0" w:type="auto"/>
            <w:shd w:val="clear" w:color="auto" w:fill="F7F7F7"/>
            <w:vAlign w:val="center"/>
            <w:hideMark/>
          </w:tcPr>
          <w:p w:rsidR="00176069" w:rsidRPr="00176069" w:rsidRDefault="00176069" w:rsidP="00176069">
            <w:pPr>
              <w:spacing w:after="0" w:line="240" w:lineRule="auto"/>
              <w:rPr>
                <w:rFonts w:ascii="Arial" w:eastAsia="Times New Roman" w:hAnsi="Arial" w:cs="Arial"/>
                <w:sz w:val="20"/>
                <w:szCs w:val="20"/>
              </w:rPr>
            </w:pPr>
            <w:r w:rsidRPr="00176069">
              <w:rPr>
                <w:rFonts w:ascii="Arial" w:eastAsia="Times New Roman" w:hAnsi="Arial" w:cs="Arial"/>
                <w:sz w:val="20"/>
                <w:szCs w:val="20"/>
              </w:rPr>
              <w:t> LIFO</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80" type="#_x0000_t75" style="width:38.5pt;height:18.4pt" o:ole="">
                  <v:imagedata r:id="rId9" o:title=""/>
                </v:shape>
                <w:control r:id="rId14" w:name="DefaultOcxName6" w:shapeid="_x0000_i1080"/>
              </w:object>
            </w: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p>
        </w:tc>
        <w:tc>
          <w:tcPr>
            <w:tcW w:w="0" w:type="auto"/>
            <w:shd w:val="clear" w:color="auto" w:fill="F7F7F7"/>
            <w:vAlign w:val="center"/>
            <w:hideMark/>
          </w:tcPr>
          <w:p w:rsidR="00176069" w:rsidRPr="00176069" w:rsidRDefault="00176069" w:rsidP="00176069">
            <w:pPr>
              <w:spacing w:after="0" w:line="240" w:lineRule="auto"/>
              <w:jc w:val="right"/>
              <w:rPr>
                <w:rFonts w:ascii="Arial" w:eastAsia="Times New Roman" w:hAnsi="Arial" w:cs="Arial"/>
                <w:sz w:val="20"/>
                <w:szCs w:val="20"/>
              </w:rPr>
            </w:pPr>
            <w:r w:rsidRPr="00176069">
              <w:rPr>
                <w:rFonts w:ascii="Arial" w:eastAsia="Times New Roman" w:hAnsi="Arial" w:cs="Arial"/>
                <w:sz w:val="20"/>
                <w:szCs w:val="20"/>
              </w:rPr>
              <w:t>$ </w:t>
            </w:r>
            <w:r w:rsidRPr="00176069">
              <w:rPr>
                <w:rFonts w:ascii="Arial" w:eastAsia="Times New Roman" w:hAnsi="Arial" w:cs="Arial"/>
                <w:sz w:val="20"/>
                <w:szCs w:val="20"/>
              </w:rPr>
              <w:object w:dxaOrig="1440" w:dyaOrig="1440">
                <v:shape id="_x0000_i1079" type="#_x0000_t75" style="width:38.5pt;height:18.4pt" o:ole="">
                  <v:imagedata r:id="rId9" o:title=""/>
                </v:shape>
                <w:control r:id="rId15" w:name="DefaultOcxName7" w:shapeid="_x0000_i1079"/>
              </w:object>
            </w:r>
            <w:r w:rsidRPr="00176069">
              <w:rPr>
                <w:rFonts w:ascii="Arial" w:eastAsia="Times New Roman" w:hAnsi="Arial" w:cs="Arial"/>
                <w:sz w:val="20"/>
                <w:szCs w:val="20"/>
              </w:rPr>
              <w:t>        </w:t>
            </w:r>
          </w:p>
        </w:tc>
      </w:tr>
      <w:tr w:rsidR="00176069" w:rsidRPr="00176069" w:rsidTr="00176069">
        <w:trPr>
          <w:tblCellSpacing w:w="0" w:type="dxa"/>
        </w:trPr>
        <w:tc>
          <w:tcPr>
            <w:tcW w:w="0" w:type="auto"/>
            <w:gridSpan w:val="6"/>
            <w:vAlign w:val="center"/>
            <w:hideMark/>
          </w:tcPr>
          <w:p w:rsidR="00176069" w:rsidRPr="00176069" w:rsidRDefault="00176069" w:rsidP="00176069">
            <w:pPr>
              <w:spacing w:after="0" w:line="240" w:lineRule="auto"/>
              <w:jc w:val="center"/>
              <w:rPr>
                <w:rFonts w:ascii="Arial" w:eastAsia="Times New Roman" w:hAnsi="Arial" w:cs="Arial"/>
                <w:sz w:val="20"/>
                <w:szCs w:val="20"/>
              </w:rPr>
            </w:pPr>
          </w:p>
        </w:tc>
      </w:tr>
    </w:tbl>
    <w:p w:rsidR="006D7F13" w:rsidRDefault="00176069" w:rsidP="00176069"/>
    <w:sectPr w:rsidR="006D7F13" w:rsidSect="001760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69"/>
    <w:rsid w:val="00176069"/>
    <w:rsid w:val="00455C5F"/>
    <w:rsid w:val="0047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coreaward">
    <w:name w:val="questionscoreaward"/>
    <w:basedOn w:val="DefaultParagraphFont"/>
    <w:rsid w:val="00176069"/>
  </w:style>
  <w:style w:type="paragraph" w:styleId="NormalWeb">
    <w:name w:val="Normal (Web)"/>
    <w:basedOn w:val="Normal"/>
    <w:uiPriority w:val="99"/>
    <w:unhideWhenUsed/>
    <w:rsid w:val="00176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6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coreaward">
    <w:name w:val="questionscoreaward"/>
    <w:basedOn w:val="DefaultParagraphFont"/>
    <w:rsid w:val="00176069"/>
  </w:style>
  <w:style w:type="paragraph" w:styleId="NormalWeb">
    <w:name w:val="Normal (Web)"/>
    <w:basedOn w:val="Normal"/>
    <w:uiPriority w:val="99"/>
    <w:unhideWhenUsed/>
    <w:rsid w:val="00176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343">
      <w:bodyDiv w:val="1"/>
      <w:marLeft w:val="0"/>
      <w:marRight w:val="0"/>
      <w:marTop w:val="0"/>
      <w:marBottom w:val="0"/>
      <w:divBdr>
        <w:top w:val="none" w:sz="0" w:space="0" w:color="auto"/>
        <w:left w:val="none" w:sz="0" w:space="0" w:color="auto"/>
        <w:bottom w:val="none" w:sz="0" w:space="0" w:color="auto"/>
        <w:right w:val="none" w:sz="0" w:space="0" w:color="auto"/>
      </w:divBdr>
      <w:divsChild>
        <w:div w:id="1017124334">
          <w:marLeft w:val="0"/>
          <w:marRight w:val="0"/>
          <w:marTop w:val="0"/>
          <w:marBottom w:val="0"/>
          <w:divBdr>
            <w:top w:val="none" w:sz="0" w:space="0" w:color="auto"/>
            <w:left w:val="none" w:sz="0" w:space="0" w:color="auto"/>
            <w:bottom w:val="dotted" w:sz="6" w:space="0" w:color="A0A0A0"/>
            <w:right w:val="none" w:sz="0" w:space="0" w:color="auto"/>
          </w:divBdr>
          <w:divsChild>
            <w:div w:id="1934630021">
              <w:marLeft w:val="0"/>
              <w:marRight w:val="0"/>
              <w:marTop w:val="0"/>
              <w:marBottom w:val="0"/>
              <w:divBdr>
                <w:top w:val="none" w:sz="0" w:space="0" w:color="auto"/>
                <w:left w:val="none" w:sz="0" w:space="0" w:color="auto"/>
                <w:bottom w:val="none" w:sz="0" w:space="0" w:color="auto"/>
                <w:right w:val="none" w:sz="0" w:space="0" w:color="auto"/>
              </w:divBdr>
            </w:div>
            <w:div w:id="1021200549">
              <w:marLeft w:val="0"/>
              <w:marRight w:val="0"/>
              <w:marTop w:val="0"/>
              <w:marBottom w:val="0"/>
              <w:divBdr>
                <w:top w:val="none" w:sz="0" w:space="0" w:color="auto"/>
                <w:left w:val="none" w:sz="0" w:space="0" w:color="auto"/>
                <w:bottom w:val="none" w:sz="0" w:space="0" w:color="auto"/>
                <w:right w:val="none" w:sz="0" w:space="0" w:color="auto"/>
              </w:divBdr>
            </w:div>
            <w:div w:id="206650851">
              <w:marLeft w:val="0"/>
              <w:marRight w:val="0"/>
              <w:marTop w:val="0"/>
              <w:marBottom w:val="0"/>
              <w:divBdr>
                <w:top w:val="none" w:sz="0" w:space="0" w:color="auto"/>
                <w:left w:val="none" w:sz="0" w:space="0" w:color="auto"/>
                <w:bottom w:val="none" w:sz="0" w:space="0" w:color="auto"/>
                <w:right w:val="none" w:sz="0" w:space="0" w:color="auto"/>
              </w:divBdr>
            </w:div>
          </w:divsChild>
        </w:div>
        <w:div w:id="1674726829">
          <w:marLeft w:val="210"/>
          <w:marRight w:val="0"/>
          <w:marTop w:val="0"/>
          <w:marBottom w:val="0"/>
          <w:divBdr>
            <w:top w:val="none" w:sz="0" w:space="0" w:color="auto"/>
            <w:left w:val="none" w:sz="0" w:space="0" w:color="auto"/>
            <w:bottom w:val="none" w:sz="0" w:space="0" w:color="auto"/>
            <w:right w:val="none" w:sz="0" w:space="0" w:color="auto"/>
          </w:divBdr>
          <w:divsChild>
            <w:div w:id="507062651">
              <w:marLeft w:val="0"/>
              <w:marRight w:val="0"/>
              <w:marTop w:val="0"/>
              <w:marBottom w:val="0"/>
              <w:divBdr>
                <w:top w:val="none" w:sz="0" w:space="0" w:color="auto"/>
                <w:left w:val="none" w:sz="0" w:space="0" w:color="auto"/>
                <w:bottom w:val="none" w:sz="0" w:space="0" w:color="auto"/>
                <w:right w:val="none" w:sz="0" w:space="0" w:color="auto"/>
              </w:divBdr>
              <w:divsChild>
                <w:div w:id="54985220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2012-12-08T15:30:00Z</dcterms:created>
  <dcterms:modified xsi:type="dcterms:W3CDTF">2012-12-08T15:31:00Z</dcterms:modified>
</cp:coreProperties>
</file>