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tblCellSpacing w:w="0" w:type="dxa"/>
        <w:tblCellMar>
          <w:left w:w="0" w:type="dxa"/>
          <w:right w:w="0" w:type="dxa"/>
        </w:tblCellMar>
        <w:tblLook w:val="04A0"/>
      </w:tblPr>
      <w:tblGrid>
        <w:gridCol w:w="9300"/>
      </w:tblGrid>
      <w:tr w:rsidR="000D2FDC" w:rsidRPr="000D2FDC" w:rsidTr="000D2FDC">
        <w:trPr>
          <w:tblCellSpacing w:w="0" w:type="dxa"/>
        </w:trPr>
        <w:tc>
          <w:tcPr>
            <w:tcW w:w="5000" w:type="pct"/>
            <w:vAlign w:val="center"/>
            <w:hideMark/>
          </w:tcPr>
          <w:p w:rsidR="000D2FDC" w:rsidRPr="000D2FDC" w:rsidRDefault="000D2FDC" w:rsidP="000D2FDC">
            <w:pPr>
              <w:spacing w:before="100" w:beforeAutospacing="1" w:after="100" w:afterAutospacing="1"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Comparative financial statements for Heritage Antiquing Services for the fiscal year ending December 31 appear on the following page. The company did not issue any new common or preferred stock during the year. A total of 500 thousand shares of common stock were outstanding. The interest rate on the bond payable was 10%, the income tax rate was 40%, and the dividend per share of common stock was $.75. The market value of the company’s common stock at the end of the year was $21. All of the company’s sales are on account.</w:t>
            </w:r>
          </w:p>
        </w:tc>
      </w:tr>
    </w:tbl>
    <w:p w:rsidR="000D2FDC" w:rsidRPr="000D2FDC" w:rsidRDefault="000D2FDC" w:rsidP="000D2FDC">
      <w:pPr>
        <w:spacing w:after="0" w:line="240" w:lineRule="auto"/>
        <w:rPr>
          <w:rFonts w:ascii="Times New Roman" w:eastAsia="Times New Roman" w:hAnsi="Times New Roman" w:cs="Times New Roman"/>
          <w:sz w:val="24"/>
          <w:szCs w:val="24"/>
        </w:rPr>
      </w:pPr>
    </w:p>
    <w:tbl>
      <w:tblPr>
        <w:tblW w:w="6750" w:type="dxa"/>
        <w:tblCellSpacing w:w="0" w:type="dxa"/>
        <w:tblCellMar>
          <w:left w:w="0" w:type="dxa"/>
          <w:right w:w="0" w:type="dxa"/>
        </w:tblCellMar>
        <w:tblLook w:val="04A0"/>
      </w:tblPr>
      <w:tblGrid>
        <w:gridCol w:w="1320"/>
        <w:gridCol w:w="1340"/>
        <w:gridCol w:w="1340"/>
        <w:gridCol w:w="1340"/>
        <w:gridCol w:w="1340"/>
        <w:gridCol w:w="1340"/>
        <w:gridCol w:w="1340"/>
      </w:tblGrid>
      <w:tr w:rsidR="000D2FDC" w:rsidRPr="000D2FDC" w:rsidTr="000D2FDC">
        <w:trPr>
          <w:tblCellSpacing w:w="0" w:type="dxa"/>
        </w:trPr>
        <w:tc>
          <w:tcPr>
            <w:tcW w:w="0" w:type="auto"/>
            <w:gridSpan w:val="7"/>
            <w:shd w:val="clear" w:color="auto" w:fill="D7DCE6"/>
            <w:vAlign w:val="center"/>
            <w:hideMark/>
          </w:tcPr>
          <w:p w:rsidR="000D2FDC" w:rsidRPr="000D2FDC" w:rsidRDefault="000D2FDC" w:rsidP="000D2FDC">
            <w:pPr>
              <w:spacing w:after="0" w:line="240" w:lineRule="auto"/>
              <w:jc w:val="center"/>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Heritage Antiquing Services</w:t>
            </w:r>
            <w:r w:rsidRPr="000D2FDC">
              <w:rPr>
                <w:rFonts w:ascii="Times New Roman" w:eastAsia="Times New Roman" w:hAnsi="Times New Roman" w:cs="Times New Roman"/>
                <w:sz w:val="24"/>
                <w:szCs w:val="24"/>
              </w:rPr>
              <w:br/>
              <w:t>Comparative Balance Sheet</w:t>
            </w:r>
            <w:r w:rsidRPr="000D2FDC">
              <w:rPr>
                <w:rFonts w:ascii="Times New Roman" w:eastAsia="Times New Roman" w:hAnsi="Times New Roman" w:cs="Times New Roman"/>
                <w:sz w:val="24"/>
                <w:szCs w:val="24"/>
              </w:rPr>
              <w:br/>
              <w:t>(dollars in thousands)</w:t>
            </w:r>
          </w:p>
        </w:tc>
      </w:tr>
      <w:tr w:rsidR="000D2FDC" w:rsidRPr="000D2FDC" w:rsidTr="000D2FDC">
        <w:trPr>
          <w:tblCellSpacing w:w="0" w:type="dxa"/>
        </w:trPr>
        <w:tc>
          <w:tcPr>
            <w:tcW w:w="3400" w:type="pct"/>
            <w:shd w:val="clear" w:color="auto" w:fill="D7DCE6"/>
            <w:vAlign w:val="center"/>
            <w:hideMark/>
          </w:tcPr>
          <w:p w:rsidR="000D2FDC" w:rsidRPr="000D2FDC" w:rsidRDefault="000D2FDC" w:rsidP="000D2FDC">
            <w:pPr>
              <w:spacing w:after="0" w:line="240" w:lineRule="auto"/>
              <w:jc w:val="center"/>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0" w:type="auto"/>
            <w:gridSpan w:val="3"/>
            <w:shd w:val="clear" w:color="auto" w:fill="D7DCE6"/>
            <w:vAlign w:val="center"/>
            <w:hideMark/>
          </w:tcPr>
          <w:p w:rsidR="000D2FDC" w:rsidRPr="000D2FDC" w:rsidRDefault="000D2FDC" w:rsidP="000D2FDC">
            <w:pPr>
              <w:spacing w:after="0" w:line="240" w:lineRule="auto"/>
              <w:jc w:val="center"/>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This Year</w:t>
            </w:r>
          </w:p>
        </w:tc>
        <w:tc>
          <w:tcPr>
            <w:tcW w:w="0" w:type="auto"/>
            <w:gridSpan w:val="3"/>
            <w:shd w:val="clear" w:color="auto" w:fill="D7DCE6"/>
            <w:vAlign w:val="center"/>
            <w:hideMark/>
          </w:tcPr>
          <w:p w:rsidR="000D2FDC" w:rsidRPr="000D2FDC" w:rsidRDefault="000D2FDC" w:rsidP="000D2FDC">
            <w:pPr>
              <w:spacing w:after="0" w:line="240" w:lineRule="auto"/>
              <w:jc w:val="center"/>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Last Year</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b/>
                <w:bCs/>
                <w:sz w:val="24"/>
                <w:szCs w:val="24"/>
              </w:rPr>
              <w:t>  Assets</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Current assets:</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Cash</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1,110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1,250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Accounts receivable, net</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9,400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8,100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Inventory</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13,600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11,100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Prepaid expenses</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600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520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25"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26"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27"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28"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29"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30" style="width:0;height:.75pt" o:hralign="right" o:hrstd="t" o:hrnoshade="t" o:hr="t" fillcolor="#a0a0a0" stroked="f"/>
              </w:pic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Total current assets</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24,710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20,970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31"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32"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33"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34"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35"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36" style="width:0;height:.75pt" o:hralign="right" o:hrstd="t" o:hrnoshade="t" o:hr="t" fillcolor="#a0a0a0" stroked="f"/>
              </w:pic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Property and equipment:</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Land</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10,400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10,400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Buildings and equipment, net</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45,206</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38,903</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37"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38"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39"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40"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41"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42" style="width:0;height:.75pt" o:hralign="right" o:hrstd="t" o:hrnoshade="t" o:hr="t" fillcolor="#a0a0a0" stroked="f"/>
              </w:pic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Total property and equipment</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55,606</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49,303</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43"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44"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45"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46"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47"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48" style="width:0;height:.75pt" o:hralign="right" o:hrstd="t" o:hrnoshade="t" o:hr="t" fillcolor="#a0a0a0" stroked="f"/>
              </w:pic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Total assets</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80,316</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70,273</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49" style="width:0;height:.75pt" o:hralign="right" o:hrstd="t" o:hrnoshade="t" o:hr="t" fillcolor="#a0a0a0" stroked="f"/>
              </w:pict>
            </w:r>
          </w:p>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50"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51" style="width:0;height:.75pt" o:hralign="right" o:hrstd="t" o:hrnoshade="t" o:hr="t" fillcolor="#a0a0a0" stroked="f"/>
              </w:pict>
            </w:r>
          </w:p>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52"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53" style="width:0;height:.75pt" o:hralign="right" o:hrstd="t" o:hrnoshade="t" o:hr="t" fillcolor="#a0a0a0" stroked="f"/>
              </w:pict>
            </w:r>
          </w:p>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54"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55" style="width:0;height:.75pt" o:hralign="right" o:hrstd="t" o:hrnoshade="t" o:hr="t" fillcolor="#a0a0a0" stroked="f"/>
              </w:pict>
            </w:r>
          </w:p>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56"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57" style="width:0;height:.75pt" o:hralign="right" o:hrstd="t" o:hrnoshade="t" o:hr="t" fillcolor="#a0a0a0" stroked="f"/>
              </w:pict>
            </w:r>
          </w:p>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58"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59" style="width:0;height:.75pt" o:hralign="right" o:hrstd="t" o:hrnoshade="t" o:hr="t" fillcolor="#a0a0a0" stroked="f"/>
              </w:pict>
            </w:r>
          </w:p>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60" style="width:0;height:.75pt" o:hralign="right" o:hrstd="t" o:hrnoshade="t" o:hr="t" fillcolor="#a0a0a0" stroked="f"/>
              </w:pic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b/>
                <w:bCs/>
                <w:sz w:val="24"/>
                <w:szCs w:val="24"/>
              </w:rPr>
              <w:t>  Liabilities and Stockholders' Equity</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xml:space="preserve">  Current </w:t>
            </w:r>
            <w:r w:rsidRPr="000D2FDC">
              <w:rPr>
                <w:rFonts w:ascii="Times New Roman" w:eastAsia="Times New Roman" w:hAnsi="Times New Roman" w:cs="Times New Roman"/>
                <w:sz w:val="24"/>
                <w:szCs w:val="24"/>
              </w:rPr>
              <w:lastRenderedPageBreak/>
              <w:t>liabilities:</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lastRenderedPageBreak/>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lastRenderedPageBreak/>
              <w:t>     Accounts payable</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20,100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18,800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Accrued payables</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1,050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780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Notes payable, short term</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290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61"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62"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63"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64"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65"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66" style="width:0;height:.75pt" o:hralign="right" o:hrstd="t" o:hrnoshade="t" o:hr="t" fillcolor="#a0a0a0" stroked="f"/>
              </w:pic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Total current liabilities</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21,150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19,870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Long-term liabilities:</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Bonds payable</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8,700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8,700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67"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68"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69"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70"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71"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72" style="width:0;height:.75pt" o:hralign="right" o:hrstd="t" o:hrnoshade="t" o:hr="t" fillcolor="#a0a0a0" stroked="f"/>
              </w:pic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Total liabilities</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29,850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28,570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73"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74"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75"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76"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77"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78" style="width:0;height:.75pt" o:hralign="right" o:hrstd="t" o:hrnoshade="t" o:hr="t" fillcolor="#a0a0a0" stroked="f"/>
              </w:pic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Stockholders' equity:</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Preferred stock</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1,000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1,000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Common stock</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2,000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2,000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Additional paid-in capital</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4,000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4,000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79" style="width:0;height:.75pt" o:hralign="right" o:hrstd="t" o:hrnoshade="t" o:hr="t" fillcolor="#a0a0a0" stroked="f"/>
              </w:pic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80" style="width:0;height:.75pt" o:hralign="right" o:hrstd="t" o:hrnoshade="t" o:hr="t" fillcolor="#a0a0a0" stroked="f"/>
              </w:pic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81" style="width:0;height:.75pt" o:hralign="right" o:hrstd="t" o:hrnoshade="t" o:hr="t" fillcolor="#a0a0a0" stroked="f"/>
              </w:pic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82" style="width:0;height:.75pt" o:hralign="right" o:hrstd="t" o:hrnoshade="t" o:hr="t" fillcolor="#a0a0a0" stroked="f"/>
              </w:pic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83" style="width:0;height:.75pt" o:hralign="right" o:hrstd="t" o:hrnoshade="t" o:hr="t" fillcolor="#a0a0a0" stroked="f"/>
              </w:pic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84" style="width:0;height:.75pt" o:hralign="right" o:hrstd="t" o:hrnoshade="t" o:hr="t" fillcolor="#a0a0a0" stroked="f"/>
              </w:pic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Total paid-in capital</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7,000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7,000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Retained earnings</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43,466</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34,703</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85"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86"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87"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88"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89"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90" style="width:0;height:.75pt" o:hralign="right" o:hrstd="t" o:hrnoshade="t" o:hr="t" fillcolor="#a0a0a0" stroked="f"/>
              </w:pic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Total stockholders' equity</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50,466</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41,703</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91"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92"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93"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94"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95"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96" style="width:0;height:.75pt" o:hralign="right" o:hrstd="t" o:hrnoshade="t" o:hr="t" fillcolor="#a0a0a0" stroked="f"/>
              </w:pic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Total liabilities and stockholders' equity</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80,316</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70,273</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97" style="width:0;height:.75pt" o:hralign="right" o:hrstd="t" o:hrnoshade="t" o:hr="t" fillcolor="#a0a0a0" stroked="f"/>
              </w:pict>
            </w:r>
          </w:p>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98"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099" style="width:0;height:.75pt" o:hralign="right" o:hrstd="t" o:hrnoshade="t" o:hr="t" fillcolor="#a0a0a0" stroked="f"/>
              </w:pict>
            </w:r>
          </w:p>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00"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01" style="width:0;height:.75pt" o:hralign="right" o:hrstd="t" o:hrnoshade="t" o:hr="t" fillcolor="#a0a0a0" stroked="f"/>
              </w:pict>
            </w:r>
          </w:p>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02"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03" style="width:0;height:.75pt" o:hralign="right" o:hrstd="t" o:hrnoshade="t" o:hr="t" fillcolor="#a0a0a0" stroked="f"/>
              </w:pict>
            </w:r>
          </w:p>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04"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05" style="width:0;height:.75pt" o:hralign="right" o:hrstd="t" o:hrnoshade="t" o:hr="t" fillcolor="#a0a0a0" stroked="f"/>
              </w:pict>
            </w:r>
          </w:p>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06"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07" style="width:0;height:.75pt" o:hralign="right" o:hrstd="t" o:hrnoshade="t" o:hr="t" fillcolor="#a0a0a0" stroked="f"/>
              </w:pict>
            </w:r>
          </w:p>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08" style="width:0;height:.75pt" o:hralign="right" o:hrstd="t" o:hrnoshade="t" o:hr="t" fillcolor="#a0a0a0" stroked="f"/>
              </w:pict>
            </w:r>
          </w:p>
        </w:tc>
      </w:tr>
      <w:tr w:rsidR="000D2FDC" w:rsidRPr="000D2FDC" w:rsidTr="000D2FDC">
        <w:trPr>
          <w:tblCellSpacing w:w="0" w:type="dxa"/>
        </w:trPr>
        <w:tc>
          <w:tcPr>
            <w:tcW w:w="0" w:type="auto"/>
            <w:gridSpan w:val="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09" style="width:468pt;height:3.75pt" o:hrstd="t" o:hrnoshade="t" o:hr="t" fillcolor="#cdd4e0" stroked="f"/>
              </w:pict>
            </w:r>
          </w:p>
        </w:tc>
      </w:tr>
    </w:tbl>
    <w:p w:rsidR="000D2FDC" w:rsidRPr="000D2FDC" w:rsidRDefault="000D2FDC" w:rsidP="000D2FDC">
      <w:pPr>
        <w:spacing w:after="0" w:line="240" w:lineRule="auto"/>
        <w:rPr>
          <w:rFonts w:ascii="Times New Roman" w:eastAsia="Times New Roman" w:hAnsi="Times New Roman" w:cs="Times New Roman"/>
          <w:sz w:val="24"/>
          <w:szCs w:val="24"/>
        </w:rPr>
      </w:pPr>
    </w:p>
    <w:tbl>
      <w:tblPr>
        <w:tblW w:w="6750" w:type="dxa"/>
        <w:tblCellSpacing w:w="0" w:type="dxa"/>
        <w:tblCellMar>
          <w:left w:w="0" w:type="dxa"/>
          <w:right w:w="0" w:type="dxa"/>
        </w:tblCellMar>
        <w:tblLook w:val="04A0"/>
      </w:tblPr>
      <w:tblGrid>
        <w:gridCol w:w="1433"/>
        <w:gridCol w:w="1322"/>
        <w:gridCol w:w="1321"/>
        <w:gridCol w:w="1321"/>
        <w:gridCol w:w="1321"/>
        <w:gridCol w:w="1321"/>
        <w:gridCol w:w="1321"/>
      </w:tblGrid>
      <w:tr w:rsidR="000D2FDC" w:rsidRPr="000D2FDC" w:rsidTr="000D2FDC">
        <w:trPr>
          <w:tblCellSpacing w:w="0" w:type="dxa"/>
        </w:trPr>
        <w:tc>
          <w:tcPr>
            <w:tcW w:w="0" w:type="auto"/>
            <w:gridSpan w:val="7"/>
            <w:shd w:val="clear" w:color="auto" w:fill="D7DCE6"/>
            <w:vAlign w:val="center"/>
            <w:hideMark/>
          </w:tcPr>
          <w:p w:rsidR="000D2FDC" w:rsidRPr="000D2FDC" w:rsidRDefault="000D2FDC" w:rsidP="000D2FDC">
            <w:pPr>
              <w:spacing w:after="0" w:line="240" w:lineRule="auto"/>
              <w:jc w:val="center"/>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Heritage Antiquing Services</w:t>
            </w:r>
            <w:r w:rsidRPr="000D2FDC">
              <w:rPr>
                <w:rFonts w:ascii="Times New Roman" w:eastAsia="Times New Roman" w:hAnsi="Times New Roman" w:cs="Times New Roman"/>
                <w:sz w:val="24"/>
                <w:szCs w:val="24"/>
              </w:rPr>
              <w:br/>
              <w:t>Comparative Income Statement and Reconciliation</w:t>
            </w:r>
            <w:r w:rsidRPr="000D2FDC">
              <w:rPr>
                <w:rFonts w:ascii="Times New Roman" w:eastAsia="Times New Roman" w:hAnsi="Times New Roman" w:cs="Times New Roman"/>
                <w:sz w:val="24"/>
                <w:szCs w:val="24"/>
              </w:rPr>
              <w:br/>
              <w:t>(dollars in thousands)</w:t>
            </w:r>
          </w:p>
        </w:tc>
      </w:tr>
      <w:tr w:rsidR="000D2FDC" w:rsidRPr="000D2FDC" w:rsidTr="000D2FDC">
        <w:trPr>
          <w:tblCellSpacing w:w="0" w:type="dxa"/>
        </w:trPr>
        <w:tc>
          <w:tcPr>
            <w:tcW w:w="3400" w:type="pct"/>
            <w:shd w:val="clear" w:color="auto" w:fill="D7DCE6"/>
            <w:vAlign w:val="center"/>
            <w:hideMark/>
          </w:tcPr>
          <w:p w:rsidR="000D2FDC" w:rsidRPr="000D2FDC" w:rsidRDefault="000D2FDC" w:rsidP="000D2FDC">
            <w:pPr>
              <w:spacing w:after="0" w:line="240" w:lineRule="auto"/>
              <w:jc w:val="center"/>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0" w:type="auto"/>
            <w:gridSpan w:val="3"/>
            <w:shd w:val="clear" w:color="auto" w:fill="D7DCE6"/>
            <w:vAlign w:val="center"/>
            <w:hideMark/>
          </w:tcPr>
          <w:p w:rsidR="000D2FDC" w:rsidRPr="000D2FDC" w:rsidRDefault="000D2FDC" w:rsidP="000D2FDC">
            <w:pPr>
              <w:spacing w:after="0" w:line="240" w:lineRule="auto"/>
              <w:jc w:val="center"/>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This Year</w:t>
            </w:r>
          </w:p>
        </w:tc>
        <w:tc>
          <w:tcPr>
            <w:tcW w:w="0" w:type="auto"/>
            <w:gridSpan w:val="3"/>
            <w:shd w:val="clear" w:color="auto" w:fill="D7DCE6"/>
            <w:vAlign w:val="center"/>
            <w:hideMark/>
          </w:tcPr>
          <w:p w:rsidR="000D2FDC" w:rsidRPr="000D2FDC" w:rsidRDefault="000D2FDC" w:rsidP="000D2FDC">
            <w:pPr>
              <w:spacing w:after="0" w:line="240" w:lineRule="auto"/>
              <w:jc w:val="center"/>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Last Year</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Sales</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73,000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64,000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Cost of goods sold</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39,000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38,000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10"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11"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12"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13"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14"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15" style="width:0;height:.75pt" o:hralign="right" o:hrstd="t" o:hrnoshade="t" o:hr="t" fillcolor="#a0a0a0" stroked="f"/>
              </w:pict>
            </w:r>
          </w:p>
        </w:tc>
      </w:tr>
      <w:tr w:rsidR="000D2FDC" w:rsidRPr="000D2FDC" w:rsidTr="000D2FDC">
        <w:trPr>
          <w:trHeight w:val="300"/>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Gross margin</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34,000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26,000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p>
        </w:tc>
      </w:tr>
      <w:tr w:rsidR="000D2FDC" w:rsidRPr="000D2FDC" w:rsidTr="000D2FDC">
        <w:trPr>
          <w:trHeight w:val="300"/>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16"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17"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18"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19"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20"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21" style="width:0;height:.75pt" o:hralign="right" o:hrstd="t" o:hrnoshade="t" o:hr="t" fillcolor="#a0a0a0" stroked="f"/>
              </w:pic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Selling and administrative expenses:</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Selling expenses</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10,700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10,200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Administrative expenses</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7,100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7,000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22"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23"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24"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25"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26"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27" style="width:0;height:.75pt" o:hralign="right" o:hrstd="t" o:hrnoshade="t" o:hr="t" fillcolor="#a0a0a0" stroked="f"/>
              </w:pic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Total selling and administrative expenses</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17,800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17,200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28"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29"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30"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31"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32"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33" style="width:0;height:.75pt" o:hralign="right" o:hrstd="t" o:hrnoshade="t" o:hr="t" fillcolor="#a0a0a0" stroked="f"/>
              </w:pic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Net operating income</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16,200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8,800</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Interest expense</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870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870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34" style="width:0;height:.75pt" o:hralign="right" o:hrstd="t" o:hrnoshade="t" o:hr="t" fillcolor="#a0a0a0" stroked="f"/>
              </w:pic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35" style="width:0;height:.75pt" o:hralign="right" o:hrstd="t" o:hrnoshade="t" o:hr="t" fillcolor="#a0a0a0" stroked="f"/>
              </w:pic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36" style="width:0;height:.75pt" o:hralign="right" o:hrstd="t" o:hrnoshade="t" o:hr="t" fillcolor="#a0a0a0" stroked="f"/>
              </w:pic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37" style="width:0;height:.75pt" o:hralign="right" o:hrstd="t" o:hrnoshade="t" o:hr="t" fillcolor="#a0a0a0" stroked="f"/>
              </w:pic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38" style="width:0;height:.75pt" o:hralign="right" o:hrstd="t" o:hrnoshade="t" o:hr="t" fillcolor="#a0a0a0" stroked="f"/>
              </w:pic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39" style="width:0;height:.75pt" o:hralign="right" o:hrstd="t" o:hrnoshade="t" o:hr="t" fillcolor="#a0a0a0" stroked="f"/>
              </w:pic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Net income before taxes</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15,330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7,930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Income taxes</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6,132</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3,172</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40"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41"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42"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43"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44"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45" style="width:0;height:.75pt" o:hralign="right" o:hrstd="t" o:hrnoshade="t" o:hr="t" fillcolor="#a0a0a0" stroked="f"/>
              </w:pic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Net income</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9,198</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4,758</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Dividends to preferred stockholders</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60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320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46" style="width:0;height:.75pt" o:hralign="right" o:hrstd="t" o:hrnoshade="t" o:hr="t" fillcolor="#a0a0a0" stroked="f"/>
              </w:pic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47" style="width:0;height:.75pt" o:hralign="right" o:hrstd="t" o:hrnoshade="t" o:hr="t" fillcolor="#a0a0a0" stroked="f"/>
              </w:pic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48" style="width:0;height:.75pt" o:hralign="right" o:hrstd="t" o:hrnoshade="t" o:hr="t" fillcolor="#a0a0a0" stroked="f"/>
              </w:pic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49" style="width:0;height:.75pt" o:hralign="right" o:hrstd="t" o:hrnoshade="t" o:hr="t" fillcolor="#a0a0a0" stroked="f"/>
              </w:pic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50" style="width:0;height:.75pt" o:hralign="right" o:hrstd="t" o:hrnoshade="t" o:hr="t" fillcolor="#a0a0a0" stroked="f"/>
              </w:pic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51" style="width:0;height:.75pt" o:hralign="right" o:hrstd="t" o:hrnoshade="t" o:hr="t" fillcolor="#a0a0a0" stroked="f"/>
              </w:pic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Net income remaining for common stockholders</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9,138</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4,438</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Dividends to common stockholders</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375</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375</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52"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53"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54"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55" style="width:0;height:.75pt" o:hralign="right" o:hrstd="t" o:hrnoshade="t" o:hr="t" fillcolor="#a0a0a0" stroked="f"/>
              </w:pic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56" style="width:0;height:.75pt" o:hralign="right" o:hrstd="t" o:hrnoshade="t" o:hr="t" fillcolor="#a0a0a0" stroked="f"/>
              </w:pic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57" style="width:0;height:.75pt" o:hralign="right" o:hrstd="t" o:hrnoshade="t" o:hr="t" fillcolor="#a0a0a0" stroked="f"/>
              </w:pic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lastRenderedPageBreak/>
              <w:t>  Net income added to retained earnings</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8,763</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4,063</w: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Retained earnings, beginning of year</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34,703</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30,640</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58" style="width:0;height:.75pt" o:hralign="right" o:hrstd="t" o:hrnoshade="t" o:hr="t" fillcolor="#a0a0a0" stroked="f"/>
              </w:pic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59" style="width:0;height:.75pt" o:hralign="right" o:hrstd="t" o:hrnoshade="t" o:hr="t" fillcolor="#a0a0a0" stroked="f"/>
              </w:pic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60" style="width:0;height:.75pt" o:hralign="right" o:hrstd="t" o:hrnoshade="t" o:hr="t" fillcolor="#a0a0a0" stroked="f"/>
              </w:pic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61" style="width:0;height:.75pt" o:hralign="right" o:hrstd="t" o:hrnoshade="t" o:hr="t" fillcolor="#a0a0a0" stroked="f"/>
              </w:pic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62" style="width:0;height:.75pt" o:hralign="right" o:hrstd="t" o:hrnoshade="t" o:hr="t" fillcolor="#a0a0a0" stroked="f"/>
              </w:pic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63" style="width:0;height:.75pt" o:hralign="right" o:hrstd="t" o:hrnoshade="t" o:hr="t" fillcolor="#a0a0a0" stroked="f"/>
              </w:pict>
            </w:r>
          </w:p>
        </w:tc>
      </w:tr>
      <w:tr w:rsidR="000D2FDC" w:rsidRPr="000D2FDC" w:rsidTr="000D2FDC">
        <w:trPr>
          <w:tblCellSpacing w:w="0" w:type="dxa"/>
        </w:trPr>
        <w:tc>
          <w:tcPr>
            <w:tcW w:w="34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Retained earnings, end of year</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43,466</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w:t>
            </w:r>
          </w:p>
        </w:tc>
        <w:tc>
          <w:tcPr>
            <w:tcW w:w="400" w:type="pct"/>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34,703</w:t>
            </w:r>
          </w:p>
        </w:tc>
        <w:tc>
          <w:tcPr>
            <w:tcW w:w="1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r>
      <w:tr w:rsidR="000D2FDC" w:rsidRPr="000D2FDC" w:rsidTr="000D2FDC">
        <w:trPr>
          <w:tblCellSpacing w:w="0" w:type="dxa"/>
        </w:trPr>
        <w:tc>
          <w:tcPr>
            <w:tcW w:w="340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w: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64" style="width:0;height:.75pt" o:hralign="right" o:hrstd="t" o:hrnoshade="t" o:hr="t" fillcolor="#a0a0a0" stroked="f"/>
              </w:pict>
            </w:r>
          </w:p>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65" style="width:0;height:.75pt" o:hralign="right" o:hrstd="t" o:hrnoshade="t" o:hr="t" fillcolor="#a0a0a0" stroked="f"/>
              </w:pic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66" style="width:0;height:.75pt" o:hralign="right" o:hrstd="t" o:hrnoshade="t" o:hr="t" fillcolor="#a0a0a0" stroked="f"/>
              </w:pict>
            </w:r>
          </w:p>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67" style="width:0;height:.75pt" o:hralign="right" o:hrstd="t" o:hrnoshade="t" o:hr="t" fillcolor="#a0a0a0" stroked="f"/>
              </w:pic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68" style="width:0;height:.75pt" o:hralign="right" o:hrstd="t" o:hrnoshade="t" o:hr="t" fillcolor="#a0a0a0" stroked="f"/>
              </w:pict>
            </w:r>
          </w:p>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69" style="width:0;height:.75pt" o:hralign="right" o:hrstd="t" o:hrnoshade="t" o:hr="t" fillcolor="#a0a0a0" stroked="f"/>
              </w:pict>
            </w:r>
          </w:p>
        </w:tc>
        <w:tc>
          <w:tcPr>
            <w:tcW w:w="15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70" style="width:0;height:.75pt" o:hralign="right" o:hrstd="t" o:hrnoshade="t" o:hr="t" fillcolor="#a0a0a0" stroked="f"/>
              </w:pict>
            </w:r>
          </w:p>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71" style="width:0;height:.75pt" o:hralign="right" o:hrstd="t" o:hrnoshade="t" o:hr="t" fillcolor="#a0a0a0" stroked="f"/>
              </w:pict>
            </w:r>
          </w:p>
        </w:tc>
        <w:tc>
          <w:tcPr>
            <w:tcW w:w="400" w:type="pct"/>
            <w:shd w:val="clear" w:color="auto" w:fill="F7F7F7"/>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72" style="width:0;height:.75pt" o:hralign="right" o:hrstd="t" o:hrnoshade="t" o:hr="t" fillcolor="#a0a0a0" stroked="f"/>
              </w:pict>
            </w:r>
          </w:p>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73" style="width:0;height:.75pt" o:hralign="right" o:hrstd="t" o:hrnoshade="t" o:hr="t" fillcolor="#a0a0a0" stroked="f"/>
              </w:pict>
            </w:r>
          </w:p>
        </w:tc>
        <w:tc>
          <w:tcPr>
            <w:tcW w:w="150" w:type="pct"/>
            <w:shd w:val="clear" w:color="auto" w:fill="F7F7F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74" style="width:0;height:.75pt" o:hralign="right" o:hrstd="t" o:hrnoshade="t" o:hr="t" fillcolor="#a0a0a0" stroked="f"/>
              </w:pict>
            </w:r>
          </w:p>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75" style="width:0;height:.75pt" o:hralign="right" o:hrstd="t" o:hrnoshade="t" o:hr="t" fillcolor="#a0a0a0" stroked="f"/>
              </w:pict>
            </w:r>
          </w:p>
        </w:tc>
      </w:tr>
      <w:tr w:rsidR="000D2FDC" w:rsidRPr="000D2FDC" w:rsidTr="000D2FDC">
        <w:trPr>
          <w:tblCellSpacing w:w="0" w:type="dxa"/>
        </w:trPr>
        <w:tc>
          <w:tcPr>
            <w:tcW w:w="0" w:type="auto"/>
            <w:gridSpan w:val="7"/>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pict>
                <v:rect id="_x0000_i1176" style="width:468pt;height:3.75pt" o:hrstd="t" o:hrnoshade="t" o:hr="t" fillcolor="#cdd4e0" stroked="f"/>
              </w:pict>
            </w:r>
          </w:p>
        </w:tc>
      </w:tr>
    </w:tbl>
    <w:p w:rsidR="000D2FDC" w:rsidRPr="000D2FDC" w:rsidRDefault="000D2FDC" w:rsidP="000D2FDC">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9300"/>
      </w:tblGrid>
      <w:tr w:rsidR="000D2FDC" w:rsidRPr="000D2FDC" w:rsidTr="000D2FDC">
        <w:trPr>
          <w:tblCellSpacing w:w="0" w:type="dxa"/>
        </w:trPr>
        <w:tc>
          <w:tcPr>
            <w:tcW w:w="50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b/>
                <w:bCs/>
                <w:sz w:val="24"/>
                <w:szCs w:val="24"/>
              </w:rPr>
              <w:t>Required:</w:t>
            </w:r>
          </w:p>
        </w:tc>
      </w:tr>
      <w:tr w:rsidR="000D2FDC" w:rsidRPr="000D2FDC" w:rsidTr="000D2FDC">
        <w:trPr>
          <w:tblCellSpacing w:w="0" w:type="dxa"/>
        </w:trPr>
        <w:tc>
          <w:tcPr>
            <w:tcW w:w="500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Compute the following financial ratios for long-term creditors for this year:</w:t>
            </w:r>
          </w:p>
        </w:tc>
      </w:tr>
    </w:tbl>
    <w:p w:rsidR="000D2FDC" w:rsidRPr="000D2FDC" w:rsidRDefault="000D2FDC" w:rsidP="000D2FDC">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79"/>
        <w:gridCol w:w="9021"/>
      </w:tblGrid>
      <w:tr w:rsidR="000D2FDC" w:rsidRPr="000D2FDC" w:rsidTr="000D2FDC">
        <w:trPr>
          <w:tblCellSpacing w:w="0" w:type="dxa"/>
        </w:trPr>
        <w:tc>
          <w:tcPr>
            <w:tcW w:w="150" w:type="pct"/>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b/>
                <w:bCs/>
                <w:sz w:val="24"/>
                <w:szCs w:val="24"/>
              </w:rPr>
              <w:t>1.</w:t>
            </w:r>
          </w:p>
        </w:tc>
        <w:tc>
          <w:tcPr>
            <w:tcW w:w="4850" w:type="pct"/>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xml:space="preserve">Times interest earned ratio. </w:t>
            </w:r>
            <w:r w:rsidRPr="000D2FDC">
              <w:rPr>
                <w:rFonts w:ascii="Times New Roman" w:eastAsia="Times New Roman" w:hAnsi="Times New Roman" w:cs="Times New Roman"/>
                <w:b/>
                <w:bCs/>
                <w:color w:val="FF0000"/>
                <w:sz w:val="24"/>
                <w:szCs w:val="24"/>
              </w:rPr>
              <w:t>(Round your answer to 1 decimal place</w:t>
            </w:r>
            <w:proofErr w:type="gramStart"/>
            <w:r w:rsidRPr="000D2FDC">
              <w:rPr>
                <w:rFonts w:ascii="Times New Roman" w:eastAsia="Times New Roman" w:hAnsi="Times New Roman" w:cs="Times New Roman"/>
                <w:b/>
                <w:bCs/>
                <w:color w:val="FF0000"/>
                <w:sz w:val="24"/>
                <w:szCs w:val="24"/>
              </w:rPr>
              <w:t>. )</w:t>
            </w:r>
            <w:proofErr w:type="gramEnd"/>
          </w:p>
        </w:tc>
      </w:tr>
    </w:tbl>
    <w:p w:rsidR="000D2FDC" w:rsidRPr="000D2FDC" w:rsidRDefault="000D2FDC" w:rsidP="000D2FDC">
      <w:pPr>
        <w:spacing w:after="0" w:line="240" w:lineRule="auto"/>
        <w:rPr>
          <w:rFonts w:ascii="Times New Roman" w:eastAsia="Times New Roman" w:hAnsi="Times New Roman" w:cs="Times New Roman"/>
          <w:sz w:val="24"/>
          <w:szCs w:val="24"/>
        </w:rPr>
      </w:pPr>
    </w:p>
    <w:tbl>
      <w:tblPr>
        <w:tblW w:w="4500" w:type="dxa"/>
        <w:tblCellSpacing w:w="0" w:type="dxa"/>
        <w:tblInd w:w="300" w:type="dxa"/>
        <w:shd w:val="clear" w:color="auto" w:fill="D7DCE6"/>
        <w:tblCellMar>
          <w:left w:w="0" w:type="dxa"/>
          <w:right w:w="0" w:type="dxa"/>
        </w:tblCellMar>
        <w:tblLook w:val="04A0"/>
      </w:tblPr>
      <w:tblGrid>
        <w:gridCol w:w="2700"/>
        <w:gridCol w:w="1800"/>
      </w:tblGrid>
      <w:tr w:rsidR="000D2FDC" w:rsidRPr="000D2FDC" w:rsidTr="000D2FDC">
        <w:trPr>
          <w:tblCellSpacing w:w="0" w:type="dxa"/>
        </w:trPr>
        <w:tc>
          <w:tcPr>
            <w:tcW w:w="3000" w:type="pct"/>
            <w:shd w:val="clear" w:color="auto" w:fill="D7DCE6"/>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Times interest earned ratio</w:t>
            </w:r>
          </w:p>
        </w:tc>
        <w:tc>
          <w:tcPr>
            <w:tcW w:w="2000" w:type="pct"/>
            <w:shd w:val="clear" w:color="auto" w:fill="D7DCE6"/>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4" type="#_x0000_t75" style="width:38.25pt;height:18pt" o:ole="">
                  <v:imagedata r:id="rId4" o:title=""/>
                </v:shape>
                <w:control r:id="rId5" w:name="DefaultOcxName" w:shapeid="_x0000_i1334"/>
              </w:object>
            </w:r>
            <w:r w:rsidRPr="000D2FDC">
              <w:rPr>
                <w:rFonts w:ascii="Times New Roman" w:eastAsia="Times New Roman" w:hAnsi="Times New Roman" w:cs="Times New Roman"/>
                <w:sz w:val="24"/>
                <w:szCs w:val="24"/>
              </w:rPr>
              <w:t> </w:t>
            </w:r>
          </w:p>
        </w:tc>
      </w:tr>
    </w:tbl>
    <w:p w:rsidR="000D2FDC" w:rsidRPr="000D2FDC" w:rsidRDefault="000D2FDC" w:rsidP="000D2FDC">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279"/>
        <w:gridCol w:w="9021"/>
      </w:tblGrid>
      <w:tr w:rsidR="000D2FDC" w:rsidRPr="000D2FDC" w:rsidTr="000D2FDC">
        <w:trPr>
          <w:tblCellSpacing w:w="0" w:type="dxa"/>
        </w:trPr>
        <w:tc>
          <w:tcPr>
            <w:tcW w:w="150" w:type="pct"/>
            <w:hideMark/>
          </w:tcPr>
          <w:p w:rsidR="000D2FDC" w:rsidRPr="000D2FDC" w:rsidRDefault="000D2FDC" w:rsidP="000D2FDC">
            <w:pPr>
              <w:spacing w:before="100" w:beforeAutospacing="1" w:after="100" w:afterAutospacing="1"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b/>
                <w:bCs/>
                <w:sz w:val="24"/>
                <w:szCs w:val="24"/>
              </w:rPr>
              <w:t>2.</w:t>
            </w:r>
          </w:p>
        </w:tc>
        <w:tc>
          <w:tcPr>
            <w:tcW w:w="4850" w:type="pct"/>
            <w:vAlign w:val="center"/>
            <w:hideMark/>
          </w:tcPr>
          <w:p w:rsidR="000D2FDC" w:rsidRPr="000D2FDC" w:rsidRDefault="000D2FDC" w:rsidP="000D2FDC">
            <w:pPr>
              <w:spacing w:before="100" w:beforeAutospacing="1" w:after="100" w:afterAutospacing="1"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xml:space="preserve">Debt-to-equity ratio. </w:t>
            </w:r>
            <w:r w:rsidRPr="000D2FDC">
              <w:rPr>
                <w:rFonts w:ascii="Times New Roman" w:eastAsia="Times New Roman" w:hAnsi="Times New Roman" w:cs="Times New Roman"/>
                <w:b/>
                <w:bCs/>
                <w:color w:val="FF0000"/>
                <w:sz w:val="24"/>
                <w:szCs w:val="24"/>
              </w:rPr>
              <w:t>(Round your answer to 2 decimal places.)</w:t>
            </w:r>
          </w:p>
        </w:tc>
      </w:tr>
    </w:tbl>
    <w:p w:rsidR="000D2FDC" w:rsidRPr="000D2FDC" w:rsidRDefault="000D2FDC" w:rsidP="000D2FDC">
      <w:pPr>
        <w:spacing w:after="0" w:line="240" w:lineRule="auto"/>
        <w:rPr>
          <w:rFonts w:ascii="Times New Roman" w:eastAsia="Times New Roman" w:hAnsi="Times New Roman" w:cs="Times New Roman"/>
          <w:sz w:val="24"/>
          <w:szCs w:val="24"/>
        </w:rPr>
      </w:pPr>
    </w:p>
    <w:tbl>
      <w:tblPr>
        <w:tblW w:w="4500" w:type="dxa"/>
        <w:tblCellSpacing w:w="0" w:type="dxa"/>
        <w:tblInd w:w="300" w:type="dxa"/>
        <w:shd w:val="clear" w:color="auto" w:fill="D7DCE6"/>
        <w:tblCellMar>
          <w:left w:w="0" w:type="dxa"/>
          <w:right w:w="0" w:type="dxa"/>
        </w:tblCellMar>
        <w:tblLook w:val="04A0"/>
      </w:tblPr>
      <w:tblGrid>
        <w:gridCol w:w="2700"/>
        <w:gridCol w:w="1800"/>
      </w:tblGrid>
      <w:tr w:rsidR="000D2FDC" w:rsidRPr="000D2FDC" w:rsidTr="000D2FDC">
        <w:trPr>
          <w:tblCellSpacing w:w="0" w:type="dxa"/>
        </w:trPr>
        <w:tc>
          <w:tcPr>
            <w:tcW w:w="3000" w:type="pct"/>
            <w:shd w:val="clear" w:color="auto" w:fill="D7DCE6"/>
            <w:vAlign w:val="center"/>
            <w:hideMark/>
          </w:tcPr>
          <w:p w:rsidR="000D2FDC" w:rsidRPr="000D2FDC" w:rsidRDefault="000D2FDC" w:rsidP="000D2FDC">
            <w:pPr>
              <w:spacing w:after="0" w:line="240" w:lineRule="auto"/>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t>  Debt-to-equity ratio</w:t>
            </w:r>
          </w:p>
        </w:tc>
        <w:tc>
          <w:tcPr>
            <w:tcW w:w="2000" w:type="pct"/>
            <w:shd w:val="clear" w:color="auto" w:fill="D7DCE6"/>
            <w:vAlign w:val="center"/>
            <w:hideMark/>
          </w:tcPr>
          <w:p w:rsidR="000D2FDC" w:rsidRPr="000D2FDC" w:rsidRDefault="000D2FDC" w:rsidP="000D2FDC">
            <w:pPr>
              <w:spacing w:after="0" w:line="240" w:lineRule="auto"/>
              <w:jc w:val="right"/>
              <w:rPr>
                <w:rFonts w:ascii="Times New Roman" w:eastAsia="Times New Roman" w:hAnsi="Times New Roman" w:cs="Times New Roman"/>
                <w:sz w:val="24"/>
                <w:szCs w:val="24"/>
              </w:rPr>
            </w:pPr>
            <w:r w:rsidRPr="000D2FDC">
              <w:rPr>
                <w:rFonts w:ascii="Times New Roman" w:eastAsia="Times New Roman" w:hAnsi="Times New Roman" w:cs="Times New Roman"/>
                <w:sz w:val="24"/>
                <w:szCs w:val="24"/>
              </w:rPr>
              <w:object w:dxaOrig="225" w:dyaOrig="225">
                <v:shape id="_x0000_i1333" type="#_x0000_t75" style="width:38.25pt;height:18pt" o:ole="">
                  <v:imagedata r:id="rId4" o:title=""/>
                </v:shape>
                <w:control r:id="rId6" w:name="DefaultOcxName1" w:shapeid="_x0000_i1333"/>
              </w:object>
            </w:r>
            <w:r w:rsidRPr="000D2FDC">
              <w:rPr>
                <w:rFonts w:ascii="Times New Roman" w:eastAsia="Times New Roman" w:hAnsi="Times New Roman" w:cs="Times New Roman"/>
                <w:sz w:val="24"/>
                <w:szCs w:val="24"/>
              </w:rPr>
              <w:t> </w:t>
            </w:r>
          </w:p>
        </w:tc>
      </w:tr>
    </w:tbl>
    <w:p w:rsidR="00D86C0E" w:rsidRDefault="00D86C0E"/>
    <w:sectPr w:rsidR="00D86C0E" w:rsidSect="00D86C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2FDC"/>
    <w:rsid w:val="000D2FDC"/>
    <w:rsid w:val="00D86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C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2F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810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540</Words>
  <Characters>3081</Characters>
  <Application>Microsoft Office Word</Application>
  <DocSecurity>0</DocSecurity>
  <Lines>25</Lines>
  <Paragraphs>7</Paragraphs>
  <ScaleCrop>false</ScaleCrop>
  <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Rhonda</cp:lastModifiedBy>
  <cp:revision>1</cp:revision>
  <dcterms:created xsi:type="dcterms:W3CDTF">2012-11-20T23:32:00Z</dcterms:created>
  <dcterms:modified xsi:type="dcterms:W3CDTF">2012-11-20T23:35:00Z</dcterms:modified>
</cp:coreProperties>
</file>