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54" w:rsidRDefault="00256554" w:rsidP="00256554">
      <w:pPr>
        <w:pStyle w:val="ListParagraph"/>
        <w:numPr>
          <w:ilvl w:val="0"/>
          <w:numId w:val="1"/>
        </w:numPr>
      </w:pPr>
      <w:r>
        <w:t xml:space="preserve">A queue, Infix, containing the infix expression. This expression consists of individual </w:t>
      </w:r>
      <w:r w:rsidRPr="00256554">
        <w:rPr>
          <w:i/>
        </w:rPr>
        <w:t>tokens</w:t>
      </w:r>
      <w:r>
        <w:rPr>
          <w:i/>
        </w:rPr>
        <w:t xml:space="preserve"> </w:t>
      </w:r>
      <w:r>
        <w:t>which may be subdivided into the following categories:</w:t>
      </w:r>
      <w:r>
        <w:br/>
      </w:r>
    </w:p>
    <w:p w:rsidR="00256554" w:rsidRDefault="00256554" w:rsidP="00256554">
      <w:pPr>
        <w:pStyle w:val="ListParagraph"/>
        <w:numPr>
          <w:ilvl w:val="1"/>
          <w:numId w:val="1"/>
        </w:numPr>
      </w:pPr>
      <w:r>
        <w:t xml:space="preserve">Operator tokens, such </w:t>
      </w:r>
      <w:proofErr w:type="gramStart"/>
      <w:r>
        <w:t>as  +</w:t>
      </w:r>
      <w:proofErr w:type="gramEnd"/>
      <w:r>
        <w:t xml:space="preserve">  -  * and /. We will assume the existence of a Boolean-valued ValidOperator function, which receives a token and returns true if that token is a valid operator for the expressions we are considering.</w:t>
      </w:r>
    </w:p>
    <w:p w:rsidR="00256554" w:rsidRDefault="00256554" w:rsidP="00256554">
      <w:pPr>
        <w:pStyle w:val="ListParagraph"/>
        <w:numPr>
          <w:ilvl w:val="1"/>
          <w:numId w:val="1"/>
        </w:numPr>
      </w:pPr>
      <w:r>
        <w:t>Operand tokens. These may be thought of as variables and constants defined according to the rules of a particular language. We will assume the existence of a Boolean-valued function ValidOperand, which receives a token and returns true if that token is a valid operand.</w:t>
      </w:r>
    </w:p>
    <w:p w:rsidR="00256554" w:rsidRDefault="00256554" w:rsidP="00256554">
      <w:pPr>
        <w:pStyle w:val="ListParagraph"/>
        <w:numPr>
          <w:ilvl w:val="1"/>
          <w:numId w:val="1"/>
        </w:numPr>
      </w:pPr>
      <w:r>
        <w:t>Left and right parenthesis tokens, denoted by LeftParen and RightParen, respectively.</w:t>
      </w:r>
    </w:p>
    <w:p w:rsidR="00256554" w:rsidRDefault="00256554" w:rsidP="00256554">
      <w:pPr>
        <w:pStyle w:val="ListParagraph"/>
        <w:numPr>
          <w:ilvl w:val="1"/>
          <w:numId w:val="1"/>
        </w:numPr>
      </w:pPr>
      <w:r>
        <w:t>A special EndToken ($), which delimits the end of the infix expression.</w:t>
      </w:r>
      <w:r>
        <w:br/>
      </w:r>
    </w:p>
    <w:p w:rsidR="00256554" w:rsidRDefault="00256554" w:rsidP="00256554">
      <w:pPr>
        <w:pStyle w:val="ListParagraph"/>
        <w:numPr>
          <w:ilvl w:val="0"/>
          <w:numId w:val="1"/>
        </w:numPr>
      </w:pPr>
      <w:r>
        <w:t>A stack, OperatorStack, which may contain operator tokens, LeftParen, RightParen, and EndToken</w:t>
      </w:r>
      <w:r w:rsidR="00696BD7">
        <w:t>.</w:t>
      </w:r>
      <w:r w:rsidR="00696BD7">
        <w:br/>
      </w:r>
    </w:p>
    <w:p w:rsidR="00696BD7" w:rsidRDefault="00696BD7" w:rsidP="00256554">
      <w:pPr>
        <w:pStyle w:val="ListParagraph"/>
        <w:numPr>
          <w:ilvl w:val="0"/>
          <w:numId w:val="1"/>
        </w:numPr>
      </w:pPr>
      <w:r>
        <w:t>A queue</w:t>
      </w:r>
      <w:r w:rsidR="00A74C5D">
        <w:t>, PostFix</w:t>
      </w:r>
      <w:r>
        <w:t>, which contains the final postfix expression.</w:t>
      </w:r>
      <w:r>
        <w:br/>
      </w:r>
    </w:p>
    <w:p w:rsidR="00696BD7" w:rsidRDefault="00A74C5D" w:rsidP="00696BD7">
      <w:pPr>
        <w:ind w:left="360"/>
      </w:pPr>
      <w:r>
        <w:t>The description of the algorithm is as follows:</w:t>
      </w:r>
    </w:p>
    <w:p w:rsidR="00A74C5D" w:rsidRDefault="00A74C5D" w:rsidP="00696BD7">
      <w:pPr>
        <w:ind w:left="360"/>
      </w:pPr>
    </w:p>
    <w:p w:rsidR="00A74C5D" w:rsidRDefault="00A74C5D" w:rsidP="00A74C5D">
      <w:pPr>
        <w:pStyle w:val="ListParagraph"/>
        <w:numPr>
          <w:ilvl w:val="0"/>
          <w:numId w:val="2"/>
        </w:numPr>
      </w:pPr>
      <w:r>
        <w:t>Define a function InfixPriority, which takes an operator, parenthesis, or EndToken as its argument and returns an integer as specified below</w:t>
      </w:r>
    </w:p>
    <w:p w:rsidR="00A74C5D" w:rsidRDefault="00A74C5D" w:rsidP="00A74C5D">
      <w:pPr>
        <w:pStyle w:val="ListParagraph"/>
        <w:jc w:val="center"/>
      </w:pPr>
      <w:r>
        <w:br/>
      </w:r>
    </w:p>
    <w:tbl>
      <w:tblPr>
        <w:tblStyle w:val="TableGrid"/>
        <w:tblW w:w="0" w:type="auto"/>
        <w:tblInd w:w="720" w:type="dxa"/>
        <w:tblLook w:val="04A0"/>
      </w:tblPr>
      <w:tblGrid>
        <w:gridCol w:w="1174"/>
        <w:gridCol w:w="995"/>
        <w:gridCol w:w="994"/>
        <w:gridCol w:w="998"/>
        <w:gridCol w:w="994"/>
        <w:gridCol w:w="1189"/>
        <w:gridCol w:w="1296"/>
        <w:gridCol w:w="1216"/>
      </w:tblGrid>
      <w:tr w:rsidR="00A74C5D" w:rsidTr="00A74C5D">
        <w:tc>
          <w:tcPr>
            <w:tcW w:w="1197" w:type="dxa"/>
          </w:tcPr>
          <w:p w:rsidR="00A74C5D" w:rsidRDefault="00A74C5D" w:rsidP="00A74C5D">
            <w:pPr>
              <w:pStyle w:val="ListParagraph"/>
              <w:ind w:left="0"/>
              <w:jc w:val="center"/>
            </w:pPr>
            <w:r>
              <w:t>Token</w:t>
            </w:r>
          </w:p>
        </w:tc>
        <w:tc>
          <w:tcPr>
            <w:tcW w:w="1197" w:type="dxa"/>
          </w:tcPr>
          <w:p w:rsidR="00A74C5D" w:rsidRDefault="00A74C5D" w:rsidP="00A74C5D">
            <w:pPr>
              <w:pStyle w:val="ListParagraph"/>
              <w:ind w:left="0"/>
              <w:jc w:val="center"/>
            </w:pPr>
            <w:r>
              <w:t>*</w:t>
            </w:r>
          </w:p>
        </w:tc>
        <w:tc>
          <w:tcPr>
            <w:tcW w:w="1197" w:type="dxa"/>
          </w:tcPr>
          <w:p w:rsidR="00A74C5D" w:rsidRDefault="00A74C5D" w:rsidP="00A74C5D">
            <w:pPr>
              <w:pStyle w:val="ListParagraph"/>
              <w:ind w:left="0"/>
              <w:jc w:val="center"/>
            </w:pPr>
            <w:r>
              <w:t>/</w:t>
            </w:r>
          </w:p>
        </w:tc>
        <w:tc>
          <w:tcPr>
            <w:tcW w:w="1197" w:type="dxa"/>
          </w:tcPr>
          <w:p w:rsidR="00A74C5D" w:rsidRDefault="00A74C5D" w:rsidP="00A74C5D">
            <w:pPr>
              <w:pStyle w:val="ListParagraph"/>
              <w:ind w:left="0"/>
              <w:jc w:val="center"/>
            </w:pPr>
            <w:r>
              <w:t>+</w:t>
            </w:r>
          </w:p>
        </w:tc>
        <w:tc>
          <w:tcPr>
            <w:tcW w:w="1197" w:type="dxa"/>
          </w:tcPr>
          <w:p w:rsidR="00A74C5D" w:rsidRDefault="00A74C5D" w:rsidP="00A74C5D">
            <w:pPr>
              <w:pStyle w:val="ListParagraph"/>
              <w:ind w:left="0"/>
              <w:jc w:val="center"/>
            </w:pPr>
            <w:r>
              <w:t>-</w:t>
            </w:r>
          </w:p>
        </w:tc>
        <w:tc>
          <w:tcPr>
            <w:tcW w:w="1197" w:type="dxa"/>
          </w:tcPr>
          <w:p w:rsidR="00A74C5D" w:rsidRDefault="00A74C5D" w:rsidP="00A74C5D">
            <w:pPr>
              <w:pStyle w:val="ListParagraph"/>
              <w:ind w:left="0"/>
              <w:jc w:val="center"/>
            </w:pPr>
            <w:r>
              <w:t>LeftParen</w:t>
            </w:r>
          </w:p>
        </w:tc>
        <w:tc>
          <w:tcPr>
            <w:tcW w:w="1197" w:type="dxa"/>
          </w:tcPr>
          <w:p w:rsidR="00A74C5D" w:rsidRDefault="00A74C5D" w:rsidP="00A74C5D">
            <w:pPr>
              <w:pStyle w:val="ListParagraph"/>
              <w:ind w:left="0"/>
              <w:jc w:val="center"/>
            </w:pPr>
            <w:r>
              <w:t>RightParen</w:t>
            </w:r>
          </w:p>
        </w:tc>
        <w:tc>
          <w:tcPr>
            <w:tcW w:w="1197" w:type="dxa"/>
          </w:tcPr>
          <w:p w:rsidR="00A74C5D" w:rsidRDefault="00A74C5D" w:rsidP="00A74C5D">
            <w:pPr>
              <w:pStyle w:val="ListParagraph"/>
              <w:ind w:left="0"/>
              <w:jc w:val="center"/>
            </w:pPr>
            <w:r>
              <w:t>EndToken</w:t>
            </w:r>
          </w:p>
        </w:tc>
      </w:tr>
      <w:tr w:rsidR="00A74C5D" w:rsidTr="00A74C5D">
        <w:tc>
          <w:tcPr>
            <w:tcW w:w="1197" w:type="dxa"/>
          </w:tcPr>
          <w:p w:rsidR="00A74C5D" w:rsidRDefault="00A74C5D" w:rsidP="00A74C5D">
            <w:pPr>
              <w:pStyle w:val="ListParagraph"/>
              <w:ind w:left="0"/>
              <w:jc w:val="center"/>
            </w:pPr>
            <w:r>
              <w:t>Returned</w:t>
            </w:r>
            <w:r>
              <w:br/>
              <w:t>Value</w:t>
            </w:r>
          </w:p>
        </w:tc>
        <w:tc>
          <w:tcPr>
            <w:tcW w:w="1197" w:type="dxa"/>
          </w:tcPr>
          <w:p w:rsidR="00A74C5D" w:rsidRDefault="00A74C5D" w:rsidP="00A74C5D">
            <w:pPr>
              <w:pStyle w:val="ListParagraph"/>
              <w:ind w:left="0"/>
              <w:jc w:val="center"/>
            </w:pPr>
            <w:r>
              <w:t>2</w:t>
            </w:r>
          </w:p>
        </w:tc>
        <w:tc>
          <w:tcPr>
            <w:tcW w:w="1197" w:type="dxa"/>
          </w:tcPr>
          <w:p w:rsidR="00A74C5D" w:rsidRDefault="00A74C5D" w:rsidP="00A74C5D">
            <w:pPr>
              <w:pStyle w:val="ListParagraph"/>
              <w:ind w:left="0"/>
              <w:jc w:val="center"/>
            </w:pPr>
            <w:r>
              <w:t>2</w:t>
            </w:r>
          </w:p>
        </w:tc>
        <w:tc>
          <w:tcPr>
            <w:tcW w:w="1197" w:type="dxa"/>
          </w:tcPr>
          <w:p w:rsidR="00A74C5D" w:rsidRDefault="00A74C5D" w:rsidP="00A74C5D">
            <w:pPr>
              <w:pStyle w:val="ListParagraph"/>
              <w:ind w:left="0"/>
              <w:jc w:val="center"/>
            </w:pPr>
            <w:r>
              <w:t>1</w:t>
            </w:r>
          </w:p>
        </w:tc>
        <w:tc>
          <w:tcPr>
            <w:tcW w:w="1197" w:type="dxa"/>
          </w:tcPr>
          <w:p w:rsidR="00A74C5D" w:rsidRDefault="00A74C5D" w:rsidP="00A74C5D">
            <w:pPr>
              <w:pStyle w:val="ListParagraph"/>
              <w:ind w:left="0"/>
              <w:jc w:val="center"/>
            </w:pPr>
            <w:r>
              <w:t>1</w:t>
            </w:r>
          </w:p>
        </w:tc>
        <w:tc>
          <w:tcPr>
            <w:tcW w:w="1197" w:type="dxa"/>
          </w:tcPr>
          <w:p w:rsidR="00A74C5D" w:rsidRDefault="00A74C5D" w:rsidP="00A74C5D">
            <w:pPr>
              <w:pStyle w:val="ListParagraph"/>
              <w:ind w:left="0"/>
              <w:jc w:val="center"/>
            </w:pPr>
            <w:r>
              <w:t>3</w:t>
            </w:r>
          </w:p>
        </w:tc>
        <w:tc>
          <w:tcPr>
            <w:tcW w:w="1197" w:type="dxa"/>
          </w:tcPr>
          <w:p w:rsidR="00A74C5D" w:rsidRDefault="00A74C5D" w:rsidP="00A74C5D">
            <w:pPr>
              <w:pStyle w:val="ListParagraph"/>
              <w:ind w:left="0"/>
              <w:jc w:val="center"/>
            </w:pPr>
            <w:r>
              <w:t>0</w:t>
            </w:r>
          </w:p>
        </w:tc>
        <w:tc>
          <w:tcPr>
            <w:tcW w:w="1197" w:type="dxa"/>
          </w:tcPr>
          <w:p w:rsidR="00A74C5D" w:rsidRDefault="00A74C5D" w:rsidP="00A74C5D">
            <w:pPr>
              <w:pStyle w:val="ListParagraph"/>
              <w:ind w:left="0"/>
              <w:jc w:val="center"/>
            </w:pPr>
            <w:r>
              <w:t>0</w:t>
            </w:r>
          </w:p>
        </w:tc>
      </w:tr>
    </w:tbl>
    <w:p w:rsidR="00A74C5D" w:rsidRDefault="00A74C5D" w:rsidP="00A74C5D">
      <w:pPr>
        <w:pStyle w:val="ListParagraph"/>
        <w:jc w:val="center"/>
      </w:pPr>
    </w:p>
    <w:p w:rsidR="00A74C5D" w:rsidRDefault="00A74C5D" w:rsidP="00A74C5D">
      <w:pPr>
        <w:pStyle w:val="ListParagraph"/>
      </w:pPr>
      <w:r>
        <w:t xml:space="preserve">This function reflects the relative position of an operator in the arithmetic hierarchy and is used with the function </w:t>
      </w:r>
      <w:proofErr w:type="spellStart"/>
      <w:proofErr w:type="gramStart"/>
      <w:r>
        <w:t>StackPriority</w:t>
      </w:r>
      <w:proofErr w:type="spellEnd"/>
      <w:r w:rsidR="00211322">
        <w:t>(</w:t>
      </w:r>
      <w:proofErr w:type="gramEnd"/>
      <w:r w:rsidR="00211322">
        <w:t>defined below)</w:t>
      </w:r>
      <w:r>
        <w:t xml:space="preserve"> to determine how long an operator waits in the stack before being enqueued on the postfix expression</w:t>
      </w:r>
      <w:r w:rsidR="00211322">
        <w:t>.</w:t>
      </w:r>
    </w:p>
    <w:p w:rsidR="00211322" w:rsidRDefault="00211322" w:rsidP="00A74C5D">
      <w:pPr>
        <w:pStyle w:val="ListParagraph"/>
      </w:pPr>
    </w:p>
    <w:p w:rsidR="00211322" w:rsidRDefault="00211322" w:rsidP="00211322">
      <w:pPr>
        <w:pStyle w:val="ListParagraph"/>
        <w:numPr>
          <w:ilvl w:val="0"/>
          <w:numId w:val="2"/>
        </w:numPr>
      </w:pPr>
      <w:r>
        <w:t xml:space="preserve">Define another function </w:t>
      </w:r>
      <w:proofErr w:type="spellStart"/>
      <w:r>
        <w:t>StackPriority</w:t>
      </w:r>
      <w:proofErr w:type="spellEnd"/>
      <w:r>
        <w:t>, which takes the same possibilities for an argument and returns an integer as specified below:</w:t>
      </w:r>
    </w:p>
    <w:p w:rsidR="00211322" w:rsidRDefault="00211322" w:rsidP="00211322">
      <w:pPr>
        <w:pStyle w:val="ListParagraph"/>
      </w:pPr>
      <w:r>
        <w:br/>
      </w:r>
    </w:p>
    <w:tbl>
      <w:tblPr>
        <w:tblStyle w:val="TableGrid"/>
        <w:tblW w:w="0" w:type="auto"/>
        <w:tblInd w:w="720" w:type="dxa"/>
        <w:tblLook w:val="04A0"/>
      </w:tblPr>
      <w:tblGrid>
        <w:gridCol w:w="1174"/>
        <w:gridCol w:w="995"/>
        <w:gridCol w:w="994"/>
        <w:gridCol w:w="998"/>
        <w:gridCol w:w="994"/>
        <w:gridCol w:w="1189"/>
        <w:gridCol w:w="1296"/>
        <w:gridCol w:w="1216"/>
      </w:tblGrid>
      <w:tr w:rsidR="00211322" w:rsidTr="00FF1BC5">
        <w:tc>
          <w:tcPr>
            <w:tcW w:w="1197" w:type="dxa"/>
          </w:tcPr>
          <w:p w:rsidR="00211322" w:rsidRDefault="00211322" w:rsidP="00FF1BC5">
            <w:pPr>
              <w:pStyle w:val="ListParagraph"/>
              <w:ind w:left="0"/>
              <w:jc w:val="center"/>
            </w:pPr>
            <w:r>
              <w:t>Token</w:t>
            </w:r>
          </w:p>
        </w:tc>
        <w:tc>
          <w:tcPr>
            <w:tcW w:w="1197" w:type="dxa"/>
          </w:tcPr>
          <w:p w:rsidR="00211322" w:rsidRDefault="00211322" w:rsidP="00FF1BC5">
            <w:pPr>
              <w:pStyle w:val="ListParagraph"/>
              <w:ind w:left="0"/>
              <w:jc w:val="center"/>
            </w:pPr>
            <w:r>
              <w:t>*</w:t>
            </w:r>
          </w:p>
        </w:tc>
        <w:tc>
          <w:tcPr>
            <w:tcW w:w="1197" w:type="dxa"/>
          </w:tcPr>
          <w:p w:rsidR="00211322" w:rsidRDefault="00211322" w:rsidP="00FF1BC5">
            <w:pPr>
              <w:pStyle w:val="ListParagraph"/>
              <w:ind w:left="0"/>
              <w:jc w:val="center"/>
            </w:pPr>
            <w:r>
              <w:t>/</w:t>
            </w:r>
          </w:p>
        </w:tc>
        <w:tc>
          <w:tcPr>
            <w:tcW w:w="1197" w:type="dxa"/>
          </w:tcPr>
          <w:p w:rsidR="00211322" w:rsidRDefault="00211322" w:rsidP="00FF1BC5">
            <w:pPr>
              <w:pStyle w:val="ListParagraph"/>
              <w:ind w:left="0"/>
              <w:jc w:val="center"/>
            </w:pPr>
            <w:r>
              <w:t>+</w:t>
            </w:r>
          </w:p>
        </w:tc>
        <w:tc>
          <w:tcPr>
            <w:tcW w:w="1197" w:type="dxa"/>
          </w:tcPr>
          <w:p w:rsidR="00211322" w:rsidRDefault="00211322" w:rsidP="00FF1BC5">
            <w:pPr>
              <w:pStyle w:val="ListParagraph"/>
              <w:ind w:left="0"/>
              <w:jc w:val="center"/>
            </w:pPr>
            <w:r>
              <w:t>-</w:t>
            </w:r>
          </w:p>
        </w:tc>
        <w:tc>
          <w:tcPr>
            <w:tcW w:w="1197" w:type="dxa"/>
          </w:tcPr>
          <w:p w:rsidR="00211322" w:rsidRDefault="00211322" w:rsidP="00FF1BC5">
            <w:pPr>
              <w:pStyle w:val="ListParagraph"/>
              <w:ind w:left="0"/>
              <w:jc w:val="center"/>
            </w:pPr>
            <w:r>
              <w:t>LeftParen</w:t>
            </w:r>
          </w:p>
        </w:tc>
        <w:tc>
          <w:tcPr>
            <w:tcW w:w="1197" w:type="dxa"/>
          </w:tcPr>
          <w:p w:rsidR="00211322" w:rsidRDefault="00211322" w:rsidP="00FF1BC5">
            <w:pPr>
              <w:pStyle w:val="ListParagraph"/>
              <w:ind w:left="0"/>
              <w:jc w:val="center"/>
            </w:pPr>
            <w:r>
              <w:t>RightParen</w:t>
            </w:r>
          </w:p>
        </w:tc>
        <w:tc>
          <w:tcPr>
            <w:tcW w:w="1197" w:type="dxa"/>
          </w:tcPr>
          <w:p w:rsidR="00211322" w:rsidRDefault="00211322" w:rsidP="00FF1BC5">
            <w:pPr>
              <w:pStyle w:val="ListParagraph"/>
              <w:ind w:left="0"/>
              <w:jc w:val="center"/>
            </w:pPr>
            <w:r>
              <w:t>EndToken</w:t>
            </w:r>
          </w:p>
        </w:tc>
      </w:tr>
      <w:tr w:rsidR="00211322" w:rsidTr="00FF1BC5">
        <w:tc>
          <w:tcPr>
            <w:tcW w:w="1197" w:type="dxa"/>
          </w:tcPr>
          <w:p w:rsidR="00211322" w:rsidRDefault="00211322" w:rsidP="00FF1BC5">
            <w:pPr>
              <w:pStyle w:val="ListParagraph"/>
              <w:ind w:left="0"/>
              <w:jc w:val="center"/>
            </w:pPr>
            <w:r>
              <w:t>Returned</w:t>
            </w:r>
            <w:r>
              <w:br/>
              <w:t>Value</w:t>
            </w:r>
          </w:p>
        </w:tc>
        <w:tc>
          <w:tcPr>
            <w:tcW w:w="1197" w:type="dxa"/>
          </w:tcPr>
          <w:p w:rsidR="00211322" w:rsidRDefault="00211322" w:rsidP="00FF1BC5">
            <w:pPr>
              <w:pStyle w:val="ListParagraph"/>
              <w:ind w:left="0"/>
              <w:jc w:val="center"/>
            </w:pPr>
            <w:r>
              <w:t>2</w:t>
            </w:r>
          </w:p>
        </w:tc>
        <w:tc>
          <w:tcPr>
            <w:tcW w:w="1197" w:type="dxa"/>
          </w:tcPr>
          <w:p w:rsidR="00211322" w:rsidRDefault="00211322" w:rsidP="00FF1BC5">
            <w:pPr>
              <w:pStyle w:val="ListParagraph"/>
              <w:ind w:left="0"/>
              <w:jc w:val="center"/>
            </w:pPr>
            <w:r>
              <w:t>2</w:t>
            </w:r>
          </w:p>
        </w:tc>
        <w:tc>
          <w:tcPr>
            <w:tcW w:w="1197" w:type="dxa"/>
          </w:tcPr>
          <w:p w:rsidR="00211322" w:rsidRDefault="00211322" w:rsidP="00FF1BC5">
            <w:pPr>
              <w:pStyle w:val="ListParagraph"/>
              <w:ind w:left="0"/>
              <w:jc w:val="center"/>
            </w:pPr>
            <w:r>
              <w:t>1</w:t>
            </w:r>
          </w:p>
        </w:tc>
        <w:tc>
          <w:tcPr>
            <w:tcW w:w="1197" w:type="dxa"/>
          </w:tcPr>
          <w:p w:rsidR="00211322" w:rsidRDefault="00211322" w:rsidP="00FF1BC5">
            <w:pPr>
              <w:pStyle w:val="ListParagraph"/>
              <w:ind w:left="0"/>
              <w:jc w:val="center"/>
            </w:pPr>
            <w:r>
              <w:t>1</w:t>
            </w:r>
          </w:p>
        </w:tc>
        <w:tc>
          <w:tcPr>
            <w:tcW w:w="1197" w:type="dxa"/>
          </w:tcPr>
          <w:p w:rsidR="00211322" w:rsidRDefault="00211322" w:rsidP="00FF1BC5">
            <w:pPr>
              <w:pStyle w:val="ListParagraph"/>
              <w:ind w:left="0"/>
              <w:jc w:val="center"/>
            </w:pPr>
            <w:r>
              <w:t>0</w:t>
            </w:r>
          </w:p>
        </w:tc>
        <w:tc>
          <w:tcPr>
            <w:tcW w:w="1197" w:type="dxa"/>
          </w:tcPr>
          <w:p w:rsidR="00211322" w:rsidRDefault="00211322" w:rsidP="00FF1BC5">
            <w:pPr>
              <w:pStyle w:val="ListParagraph"/>
              <w:ind w:left="0"/>
              <w:jc w:val="center"/>
            </w:pPr>
            <w:r>
              <w:t>undefined</w:t>
            </w:r>
          </w:p>
        </w:tc>
        <w:tc>
          <w:tcPr>
            <w:tcW w:w="1197" w:type="dxa"/>
          </w:tcPr>
          <w:p w:rsidR="00211322" w:rsidRDefault="00211322" w:rsidP="00FF1BC5">
            <w:pPr>
              <w:pStyle w:val="ListParagraph"/>
              <w:ind w:left="0"/>
              <w:jc w:val="center"/>
            </w:pPr>
            <w:r>
              <w:t>0</w:t>
            </w:r>
          </w:p>
        </w:tc>
      </w:tr>
    </w:tbl>
    <w:p w:rsidR="00211322" w:rsidRDefault="00211322" w:rsidP="00211322">
      <w:pPr>
        <w:pStyle w:val="ListParagraph"/>
      </w:pPr>
    </w:p>
    <w:p w:rsidR="00211322" w:rsidRDefault="00211322" w:rsidP="00211322">
      <w:pPr>
        <w:pStyle w:val="ListParagraph"/>
      </w:pPr>
      <w:r>
        <w:t xml:space="preserve">This function is applied to operators in the operator stack and returns their priority in the arithmetic hierarchy – a value that is to be compared to the infix priorities of incoming operators from the infix queue. The result of this comparison determines whether or not an operator waits in the stack of is </w:t>
      </w:r>
      <w:proofErr w:type="spellStart"/>
      <w:r>
        <w:t>enqueued</w:t>
      </w:r>
      <w:proofErr w:type="spellEnd"/>
      <w:r>
        <w:t xml:space="preserve"> on the postfix expression.</w:t>
      </w:r>
    </w:p>
    <w:p w:rsidR="00211322" w:rsidRDefault="00211322" w:rsidP="00211322">
      <w:pPr>
        <w:pStyle w:val="ListParagraph"/>
      </w:pPr>
    </w:p>
    <w:p w:rsidR="00211322" w:rsidRDefault="00211322" w:rsidP="00211322">
      <w:pPr>
        <w:pStyle w:val="ListParagraph"/>
        <w:numPr>
          <w:ilvl w:val="0"/>
          <w:numId w:val="2"/>
        </w:numPr>
      </w:pPr>
      <w:r>
        <w:lastRenderedPageBreak/>
        <w:t xml:space="preserve">Initialize </w:t>
      </w:r>
      <w:proofErr w:type="spellStart"/>
      <w:r>
        <w:t>OperatorStack</w:t>
      </w:r>
      <w:proofErr w:type="spellEnd"/>
      <w:r>
        <w:t xml:space="preserve"> by pushing EndToken.</w:t>
      </w:r>
    </w:p>
    <w:p w:rsidR="00211322" w:rsidRDefault="00F55E4B" w:rsidP="00211322">
      <w:pPr>
        <w:pStyle w:val="ListParagraph"/>
        <w:numPr>
          <w:ilvl w:val="0"/>
          <w:numId w:val="2"/>
        </w:numPr>
      </w:pPr>
      <w:proofErr w:type="spellStart"/>
      <w:proofErr w:type="gramStart"/>
      <w:r>
        <w:t>Dequeue</w:t>
      </w:r>
      <w:proofErr w:type="spellEnd"/>
      <w:proofErr w:type="gramEnd"/>
      <w:r>
        <w:t xml:space="preserve"> the next T</w:t>
      </w:r>
      <w:r w:rsidR="00211322">
        <w:t>oken from the infix expression.</w:t>
      </w:r>
    </w:p>
    <w:p w:rsidR="00211322" w:rsidRDefault="00211322" w:rsidP="00211322">
      <w:pPr>
        <w:pStyle w:val="ListParagraph"/>
        <w:numPr>
          <w:ilvl w:val="0"/>
          <w:numId w:val="2"/>
        </w:numPr>
      </w:pPr>
      <w:r>
        <w:t>Test Token and</w:t>
      </w:r>
    </w:p>
    <w:p w:rsidR="00211322" w:rsidRDefault="00211322" w:rsidP="00211322">
      <w:pPr>
        <w:pStyle w:val="ListParagraph"/>
        <w:numPr>
          <w:ilvl w:val="1"/>
          <w:numId w:val="2"/>
        </w:numPr>
      </w:pPr>
      <w:r>
        <w:t xml:space="preserve">If Token is an operand, </w:t>
      </w:r>
      <w:proofErr w:type="spellStart"/>
      <w:r>
        <w:t>enqueue</w:t>
      </w:r>
      <w:proofErr w:type="spellEnd"/>
      <w:r>
        <w:t xml:space="preserve"> it on the Postfix expression.</w:t>
      </w:r>
      <w:r>
        <w:br/>
      </w:r>
    </w:p>
    <w:p w:rsidR="00211322" w:rsidRDefault="00211322" w:rsidP="00211322">
      <w:pPr>
        <w:pStyle w:val="ListParagraph"/>
        <w:numPr>
          <w:ilvl w:val="1"/>
          <w:numId w:val="2"/>
        </w:numPr>
      </w:pPr>
      <w:r>
        <w:t xml:space="preserve">If token is a RightParen, then pop entries from </w:t>
      </w:r>
      <w:proofErr w:type="spellStart"/>
      <w:r>
        <w:t>OperatorStack</w:t>
      </w:r>
      <w:proofErr w:type="spellEnd"/>
      <w:r>
        <w:t xml:space="preserve"> and </w:t>
      </w:r>
      <w:proofErr w:type="spellStart"/>
      <w:r>
        <w:t>enqueue</w:t>
      </w:r>
      <w:proofErr w:type="spellEnd"/>
      <w:r>
        <w:t xml:space="preserve"> them on Postfix until a matching LeftParen is popped. Doing this ensures that operators within a parenthesized portion of an infix expression will be applied first, regardless of the</w:t>
      </w:r>
      <w:r w:rsidR="00F55E4B">
        <w:t>ir priority in the usual arithmetic hierarchy. Discard both left and right parenthesis.</w:t>
      </w:r>
      <w:r w:rsidR="00F55E4B">
        <w:br/>
      </w:r>
    </w:p>
    <w:p w:rsidR="00F55E4B" w:rsidRDefault="00F55E4B" w:rsidP="00211322">
      <w:pPr>
        <w:pStyle w:val="ListParagraph"/>
        <w:numPr>
          <w:ilvl w:val="1"/>
          <w:numId w:val="2"/>
        </w:numPr>
      </w:pPr>
      <w:r>
        <w:t xml:space="preserve">If Token is EndToken, pop all entries that remain on the stack and </w:t>
      </w:r>
      <w:proofErr w:type="spellStart"/>
      <w:r>
        <w:t>enqueue</w:t>
      </w:r>
      <w:proofErr w:type="spellEnd"/>
      <w:r>
        <w:t xml:space="preserve"> them on the Postfix queue.</w:t>
      </w:r>
      <w:r>
        <w:br/>
      </w:r>
    </w:p>
    <w:p w:rsidR="00F55E4B" w:rsidRDefault="00F55E4B" w:rsidP="00211322">
      <w:pPr>
        <w:pStyle w:val="ListParagraph"/>
        <w:numPr>
          <w:ilvl w:val="1"/>
          <w:numId w:val="2"/>
        </w:numPr>
      </w:pPr>
      <w:r>
        <w:t xml:space="preserve">Otherwise, pop from the stack and </w:t>
      </w:r>
      <w:proofErr w:type="spellStart"/>
      <w:r>
        <w:t>enqueue</w:t>
      </w:r>
      <w:proofErr w:type="spellEnd"/>
      <w:r>
        <w:t xml:space="preserve"> on the Postfix queue operators whose </w:t>
      </w:r>
      <w:proofErr w:type="spellStart"/>
      <w:r>
        <w:t>StackPriority</w:t>
      </w:r>
      <w:proofErr w:type="spellEnd"/>
      <w:r>
        <w:t xml:space="preserve"> is greater than or equal to the InfixPriority of Token. This comparison, keying on the priority of Token from the Infix queue and operators that have previously been pushed onto the </w:t>
      </w:r>
      <w:proofErr w:type="spellStart"/>
      <w:r>
        <w:t>OperatorStack</w:t>
      </w:r>
      <w:proofErr w:type="spellEnd"/>
      <w:r>
        <w:t>, ensures that operators are applied in the right order in the resulting Postfix queue. After popping these operators, push Token.</w:t>
      </w:r>
      <w:r>
        <w:br/>
      </w:r>
    </w:p>
    <w:p w:rsidR="00F55E4B" w:rsidRDefault="00F55E4B" w:rsidP="00F55E4B">
      <w:pPr>
        <w:pStyle w:val="ListParagraph"/>
        <w:numPr>
          <w:ilvl w:val="0"/>
          <w:numId w:val="2"/>
        </w:numPr>
      </w:pPr>
      <w:r>
        <w:t>Repeat 4 and 5 until Token is the delimiting EndToken.</w:t>
      </w:r>
    </w:p>
    <w:p w:rsidR="00F55E4B" w:rsidRDefault="00F55E4B" w:rsidP="00F55E4B">
      <w:pPr>
        <w:pStyle w:val="ListParagraph"/>
      </w:pPr>
    </w:p>
    <w:p w:rsidR="00F55E4B" w:rsidRDefault="00F55E4B" w:rsidP="00F55E4B">
      <w:pPr>
        <w:pStyle w:val="ListParagraph"/>
      </w:pPr>
    </w:p>
    <w:p w:rsidR="00F55E4B" w:rsidRDefault="00F55E4B" w:rsidP="00F55E4B">
      <w:pPr>
        <w:pStyle w:val="ListParagraph"/>
      </w:pPr>
      <w:r>
        <w:t xml:space="preserve">The key to the algorithm is the use of the stack to hold operators from the infix expression that appear to the left of another given operator even though the latter operator must be applied first. The defined functions InfixPriority and </w:t>
      </w:r>
      <w:proofErr w:type="spellStart"/>
      <w:r>
        <w:t>StackPriority</w:t>
      </w:r>
      <w:proofErr w:type="spellEnd"/>
      <w:r>
        <w:t xml:space="preserve"> are used to specify this priority of operators and the associated pushing and popping operations. </w:t>
      </w:r>
    </w:p>
    <w:sectPr w:rsidR="00F55E4B" w:rsidSect="005A70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709C"/>
    <w:multiLevelType w:val="hybridMultilevel"/>
    <w:tmpl w:val="8BDAD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07244"/>
    <w:multiLevelType w:val="hybridMultilevel"/>
    <w:tmpl w:val="B88A1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256554"/>
    <w:rsid w:val="00211322"/>
    <w:rsid w:val="00256554"/>
    <w:rsid w:val="00484F08"/>
    <w:rsid w:val="004A2061"/>
    <w:rsid w:val="005A7046"/>
    <w:rsid w:val="00696BD7"/>
    <w:rsid w:val="007905B1"/>
    <w:rsid w:val="00A74C5D"/>
    <w:rsid w:val="00D178F7"/>
    <w:rsid w:val="00F55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54"/>
    <w:pPr>
      <w:ind w:left="720"/>
      <w:contextualSpacing/>
    </w:pPr>
  </w:style>
  <w:style w:type="table" w:styleId="TableGrid">
    <w:name w:val="Table Grid"/>
    <w:basedOn w:val="TableNormal"/>
    <w:uiPriority w:val="59"/>
    <w:rsid w:val="00A74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Nicki7</dc:creator>
  <cp:lastModifiedBy>Nicki7</cp:lastModifiedBy>
  <cp:revision>2</cp:revision>
  <dcterms:created xsi:type="dcterms:W3CDTF">2012-10-09T22:45:00Z</dcterms:created>
  <dcterms:modified xsi:type="dcterms:W3CDTF">2012-10-10T17:17:00Z</dcterms:modified>
</cp:coreProperties>
</file>