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8E" w:rsidRDefault="00D91A8E" w:rsidP="00D91A8E">
      <w:pPr>
        <w:widowControl w:val="0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0D7B77">
        <w:rPr>
          <w:rFonts w:asciiTheme="majorHAnsi" w:hAnsiTheme="majorHAnsi"/>
          <w:snapToGrid w:val="0"/>
          <w:color w:val="000000"/>
          <w:sz w:val="22"/>
          <w:szCs w:val="22"/>
        </w:rPr>
        <w:t>The following data represent revenues in thousands of dollars for a manufacturer of small electric appliances.</w:t>
      </w:r>
    </w:p>
    <w:p w:rsidR="00D91A8E" w:rsidRDefault="00D91A8E" w:rsidP="00D91A8E">
      <w:pPr>
        <w:widowControl w:val="0"/>
        <w:rPr>
          <w:rFonts w:asciiTheme="majorHAnsi" w:hAnsiTheme="majorHAnsi"/>
          <w:snapToGrid w:val="0"/>
          <w:color w:val="000000"/>
          <w:sz w:val="22"/>
          <w:szCs w:val="22"/>
        </w:rPr>
      </w:pP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 xml:space="preserve">a.   </w:t>
      </w:r>
      <w:r w:rsidRPr="00D91A8E">
        <w:rPr>
          <w:rFonts w:asciiTheme="majorHAnsi" w:hAnsiTheme="majorHAnsi"/>
          <w:snapToGrid w:val="0"/>
          <w:sz w:val="24"/>
          <w:szCs w:val="24"/>
        </w:rPr>
        <w:t xml:space="preserve">Calculate the moving averages for this time series. </w:t>
      </w:r>
      <w:bookmarkStart w:id="0" w:name="_GoBack"/>
      <w:bookmarkEnd w:id="0"/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ab/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Moving </w:t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Year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Quarter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Revenues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Q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Average</w:t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514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822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3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648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3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976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1997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616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5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1997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884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1997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3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678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7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1997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996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658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9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850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10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3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 xml:space="preserve">  714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11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1998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1052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12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 xml:space="preserve">b.  </w:t>
      </w:r>
      <w:r w:rsidRPr="00D91A8E">
        <w:rPr>
          <w:rFonts w:asciiTheme="majorHAnsi" w:hAnsiTheme="majorHAnsi"/>
          <w:snapToGrid w:val="0"/>
          <w:sz w:val="24"/>
          <w:szCs w:val="24"/>
        </w:rPr>
        <w:t xml:space="preserve">Find the seasonal index for each quarter. </w:t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ab/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Quarter</w:t>
      </w:r>
      <w:r w:rsidRPr="00D91A8E">
        <w:rPr>
          <w:rFonts w:asciiTheme="majorHAnsi" w:hAnsiTheme="majorHAnsi"/>
          <w:snapToGrid w:val="0"/>
          <w:sz w:val="24"/>
          <w:szCs w:val="24"/>
        </w:rPr>
        <w:tab/>
        <w:t>Seasonal index</w:t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1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2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3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 w:rsidRPr="00D91A8E">
        <w:rPr>
          <w:rFonts w:asciiTheme="majorHAnsi" w:hAnsiTheme="majorHAnsi"/>
          <w:snapToGrid w:val="0"/>
          <w:sz w:val="24"/>
          <w:szCs w:val="24"/>
        </w:rPr>
        <w:t>4</w:t>
      </w:r>
      <w:r w:rsidRPr="00D91A8E">
        <w:rPr>
          <w:rFonts w:asciiTheme="majorHAnsi" w:hAnsiTheme="majorHAnsi"/>
          <w:snapToGrid w:val="0"/>
          <w:sz w:val="24"/>
          <w:szCs w:val="24"/>
        </w:rPr>
        <w:tab/>
      </w:r>
    </w:p>
    <w:p w:rsidR="00D91A8E" w:rsidRP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</w:p>
    <w:p w:rsid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napToGrid w:val="0"/>
          <w:sz w:val="24"/>
          <w:szCs w:val="24"/>
        </w:rPr>
        <w:t xml:space="preserve">c.  </w:t>
      </w:r>
      <w:r w:rsidRPr="00D91A8E">
        <w:rPr>
          <w:rFonts w:asciiTheme="majorHAnsi" w:hAnsiTheme="majorHAnsi"/>
          <w:snapToGrid w:val="0"/>
          <w:sz w:val="24"/>
          <w:szCs w:val="24"/>
        </w:rPr>
        <w:t>From</w:t>
      </w:r>
      <w:proofErr w:type="gramEnd"/>
      <w:r w:rsidRPr="00D91A8E">
        <w:rPr>
          <w:rFonts w:asciiTheme="majorHAnsi" w:hAnsiTheme="majorHAnsi"/>
          <w:snapToGrid w:val="0"/>
          <w:sz w:val="24"/>
          <w:szCs w:val="24"/>
        </w:rPr>
        <w:t xml:space="preserve"> the fourth quarter of 1997 to the first quarter of 1998, revenues declined.  </w:t>
      </w:r>
      <w:r>
        <w:rPr>
          <w:rFonts w:asciiTheme="majorHAnsi" w:hAnsiTheme="majorHAnsi"/>
          <w:snapToGrid w:val="0"/>
          <w:sz w:val="24"/>
          <w:szCs w:val="24"/>
        </w:rPr>
        <w:t xml:space="preserve">  </w:t>
      </w:r>
    </w:p>
    <w:p w:rsid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sz w:val="24"/>
          <w:szCs w:val="24"/>
        </w:rPr>
        <w:t xml:space="preserve">      What happened on </w:t>
      </w:r>
      <w:r w:rsidRPr="00D91A8E">
        <w:rPr>
          <w:rFonts w:asciiTheme="majorHAnsi" w:hAnsiTheme="majorHAnsi"/>
          <w:snapToGrid w:val="0"/>
          <w:sz w:val="24"/>
          <w:szCs w:val="24"/>
        </w:rPr>
        <w:t>a seasonally adjusted basis?</w:t>
      </w:r>
    </w:p>
    <w:p w:rsidR="00D91A8E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</w:p>
    <w:p w:rsidR="00D91A8E" w:rsidRDefault="00D91A8E" w:rsidP="00D91A8E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 xml:space="preserve">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d.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From the first quarter of 1998 to the second quarter of </w:t>
      </w:r>
      <w:r>
        <w:rPr>
          <w:rFonts w:asciiTheme="majorHAnsi" w:hAnsiTheme="majorHAnsi"/>
          <w:snapToGrid w:val="0"/>
          <w:color w:val="000000"/>
          <w:sz w:val="24"/>
          <w:szCs w:val="24"/>
        </w:rPr>
        <w:t>1998, revenues increased. What</w:t>
      </w:r>
    </w:p>
    <w:p w:rsidR="00D91A8E" w:rsidRPr="00B91ED8" w:rsidRDefault="00D91A8E" w:rsidP="00D91A8E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     </w:t>
      </w:r>
      <w:proofErr w:type="gramStart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happened</w:t>
      </w:r>
      <w:proofErr w:type="gramEnd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 on a seasonally adjusted basis? </w:t>
      </w:r>
    </w:p>
    <w:p w:rsidR="00D91A8E" w:rsidRPr="00B91ED8" w:rsidRDefault="00D91A8E" w:rsidP="00D91A8E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D91A8E" w:rsidRPr="00B91ED8" w:rsidRDefault="00D91A8E" w:rsidP="00D91A8E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D91A8E" w:rsidRDefault="00D91A8E" w:rsidP="00D91A8E">
      <w:pPr>
        <w:widowControl w:val="0"/>
        <w:tabs>
          <w:tab w:val="right" w:pos="547"/>
        </w:tabs>
        <w:rPr>
          <w:rFonts w:asciiTheme="majorHAnsi" w:hAnsiTheme="majorHAnsi"/>
          <w:snapToGrid w:val="0"/>
          <w:color w:val="000000"/>
          <w:sz w:val="24"/>
          <w:szCs w:val="24"/>
        </w:rPr>
      </w:pP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e.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The regression equation to predict the long term t</w:t>
      </w:r>
      <w:r>
        <w:rPr>
          <w:rFonts w:asciiTheme="majorHAnsi" w:hAnsiTheme="majorHAnsi"/>
          <w:snapToGrid w:val="0"/>
          <w:color w:val="000000"/>
          <w:sz w:val="24"/>
          <w:szCs w:val="24"/>
        </w:rPr>
        <w:t>rend in the seasonally adjusted</w:t>
      </w:r>
    </w:p>
    <w:p w:rsidR="00D91A8E" w:rsidRPr="00C62AA4" w:rsidRDefault="00D91A8E" w:rsidP="00D91A8E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       </w:t>
      </w:r>
      <w:proofErr w:type="gramStart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revenues</w:t>
      </w:r>
      <w:proofErr w:type="gramEnd"/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. </w:t>
      </w:r>
      <w:r>
        <w:rPr>
          <w:rFonts w:asciiTheme="majorHAnsi" w:hAnsiTheme="majorHAnsi"/>
          <w:snapToGrid w:val="0"/>
          <w:sz w:val="24"/>
          <w:szCs w:val="24"/>
        </w:rPr>
        <w:t xml:space="preserve">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Seasonally adjusted revenues = 705.97 + 11.67*Q    </w:t>
      </w:r>
    </w:p>
    <w:p w:rsidR="00D91A8E" w:rsidRPr="00B91ED8" w:rsidRDefault="00D91A8E" w:rsidP="00D91A8E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D91A8E" w:rsidRPr="00B91ED8" w:rsidRDefault="00D91A8E" w:rsidP="00D91A8E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 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>f.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Compute the seasonally adjusted forecast for the fourth quarter of 2001. </w:t>
      </w:r>
    </w:p>
    <w:p w:rsidR="00D91A8E" w:rsidRPr="00B91ED8" w:rsidRDefault="00D91A8E" w:rsidP="00D91A8E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D91A8E" w:rsidRPr="00B91ED8" w:rsidRDefault="00D91A8E" w:rsidP="00D91A8E">
      <w:pPr>
        <w:widowControl w:val="0"/>
        <w:ind w:left="720"/>
        <w:rPr>
          <w:rFonts w:asciiTheme="majorHAnsi" w:hAnsiTheme="majorHAnsi"/>
          <w:snapToGrid w:val="0"/>
          <w:color w:val="000000"/>
          <w:sz w:val="24"/>
          <w:szCs w:val="24"/>
        </w:rPr>
      </w:pPr>
    </w:p>
    <w:p w:rsidR="00D91A8E" w:rsidRPr="00B91ED8" w:rsidRDefault="00D91A8E" w:rsidP="00D91A8E">
      <w:pPr>
        <w:widowControl w:val="0"/>
        <w:tabs>
          <w:tab w:val="right" w:pos="547"/>
        </w:tabs>
        <w:ind w:left="720" w:hanging="720"/>
        <w:rPr>
          <w:rFonts w:asciiTheme="majorHAnsi" w:hAnsiTheme="majorHAnsi"/>
          <w:snapToGrid w:val="0"/>
          <w:sz w:val="24"/>
          <w:szCs w:val="24"/>
        </w:rPr>
      </w:pPr>
      <w:r>
        <w:rPr>
          <w:rFonts w:asciiTheme="majorHAnsi" w:hAnsiTheme="majorHAnsi"/>
          <w:snapToGrid w:val="0"/>
          <w:color w:val="000000"/>
          <w:sz w:val="24"/>
          <w:szCs w:val="24"/>
        </w:rPr>
        <w:tab/>
      </w: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   </w:t>
      </w:r>
      <w:r>
        <w:rPr>
          <w:rFonts w:asciiTheme="majorHAnsi" w:hAnsiTheme="majorHAnsi"/>
          <w:snapToGrid w:val="0"/>
          <w:color w:val="000000"/>
          <w:sz w:val="24"/>
          <w:szCs w:val="24"/>
        </w:rPr>
        <w:t xml:space="preserve">g. </w:t>
      </w:r>
      <w:r w:rsidRPr="00B91ED8">
        <w:rPr>
          <w:rFonts w:asciiTheme="majorHAnsi" w:hAnsiTheme="majorHAnsi"/>
          <w:snapToGrid w:val="0"/>
          <w:color w:val="000000"/>
          <w:sz w:val="24"/>
          <w:szCs w:val="24"/>
        </w:rPr>
        <w:t xml:space="preserve">Compute the forecast for the second quarter of 2002. </w:t>
      </w:r>
    </w:p>
    <w:p w:rsidR="00D91A8E" w:rsidRPr="000D7B77" w:rsidRDefault="00D91A8E" w:rsidP="00D91A8E">
      <w:pPr>
        <w:widowControl w:val="0"/>
        <w:rPr>
          <w:rFonts w:asciiTheme="majorHAnsi" w:hAnsiTheme="majorHAnsi"/>
          <w:snapToGrid w:val="0"/>
          <w:sz w:val="24"/>
          <w:szCs w:val="24"/>
        </w:rPr>
      </w:pPr>
    </w:p>
    <w:p w:rsidR="00D91A8E" w:rsidRPr="000D7B77" w:rsidRDefault="00D91A8E" w:rsidP="00D91A8E">
      <w:pPr>
        <w:widowControl w:val="0"/>
        <w:rPr>
          <w:rFonts w:asciiTheme="majorHAnsi" w:hAnsiTheme="majorHAnsi"/>
          <w:snapToGrid w:val="0"/>
          <w:color w:val="000000"/>
          <w:sz w:val="22"/>
          <w:szCs w:val="22"/>
        </w:rPr>
      </w:pPr>
    </w:p>
    <w:p w:rsidR="00C400AB" w:rsidRDefault="00D91A8E"/>
    <w:sectPr w:rsidR="00C4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8E"/>
    <w:rsid w:val="001C4005"/>
    <w:rsid w:val="00D91A8E"/>
    <w:rsid w:val="00E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2012-10-05T23:03:00Z</dcterms:created>
  <dcterms:modified xsi:type="dcterms:W3CDTF">2012-10-05T23:07:00Z</dcterms:modified>
</cp:coreProperties>
</file>