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BD" w:rsidRPr="00B91ED8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color w:val="000000"/>
          <w:sz w:val="24"/>
          <w:szCs w:val="24"/>
        </w:rPr>
        <w:t>Stanly Smith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 is in the market for a used car so that he can get to Cascade College to take advanced financial accounting. Based on eye appeal only, he has narrowed his choice to the </w:t>
      </w:r>
      <w:proofErr w:type="spellStart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Smogger</w:t>
      </w:r>
      <w:proofErr w:type="spellEnd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, an import from Lapland. The </w:t>
      </w:r>
      <w:r w:rsidRPr="00B91ED8">
        <w:rPr>
          <w:rFonts w:asciiTheme="majorHAnsi" w:hAnsiTheme="majorHAnsi"/>
          <w:i/>
          <w:iCs/>
          <w:snapToGrid w:val="0"/>
          <w:color w:val="000000"/>
          <w:sz w:val="24"/>
          <w:szCs w:val="24"/>
        </w:rPr>
        <w:t xml:space="preserve">Community Times 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want ads section lists the following used </w:t>
      </w:r>
      <w:proofErr w:type="spellStart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Smoggers</w:t>
      </w:r>
      <w:proofErr w:type="spellEnd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 for sale:</w:t>
      </w: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1056"/>
        <w:gridCol w:w="1096"/>
      </w:tblGrid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Smogger</w:t>
            </w:r>
            <w:proofErr w:type="spellEnd"/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Price</w:t>
            </w:r>
          </w:p>
        </w:tc>
      </w:tr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(Years)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($1000)</w:t>
            </w:r>
          </w:p>
        </w:tc>
      </w:tr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8.45</w:t>
            </w:r>
          </w:p>
        </w:tc>
      </w:tr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7.8</w:t>
            </w:r>
          </w:p>
        </w:tc>
      </w:tr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6.0</w:t>
            </w:r>
          </w:p>
        </w:tc>
      </w:tr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6.1</w:t>
            </w:r>
          </w:p>
        </w:tc>
      </w:tr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5.2</w:t>
            </w:r>
          </w:p>
        </w:tc>
      </w:tr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3.9</w:t>
            </w:r>
          </w:p>
        </w:tc>
      </w:tr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3.5</w:t>
            </w:r>
          </w:p>
        </w:tc>
      </w:tr>
      <w:tr w:rsidR="000017BD" w:rsidRPr="00B91ED8" w:rsidTr="000B23C1">
        <w:tc>
          <w:tcPr>
            <w:tcW w:w="1203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0017BD" w:rsidRPr="00B91ED8" w:rsidRDefault="000017BD" w:rsidP="000B23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1ED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1.45</w:t>
            </w:r>
          </w:p>
        </w:tc>
      </w:tr>
    </w:tbl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sz w:val="24"/>
          <w:szCs w:val="24"/>
        </w:rPr>
        <w:br w:type="textWrapping" w:clear="all"/>
      </w: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Now inspect the following Excel output:</w:t>
      </w: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SUMMARY OUTPUT</w:t>
      </w: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AED36D7" wp14:editId="395DB27E">
            <wp:extent cx="2133600" cy="822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 </w:t>
      </w: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ANOVA</w:t>
      </w:r>
    </w:p>
    <w:p w:rsidR="000017BD" w:rsidRPr="00B91ED8" w:rsidRDefault="000017BD" w:rsidP="000017BD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A956430" wp14:editId="30316C2A">
            <wp:extent cx="5074920" cy="5181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 </w:t>
      </w:r>
    </w:p>
    <w:p w:rsidR="000017BD" w:rsidRDefault="000017BD" w:rsidP="000017BD">
      <w:pPr>
        <w:widowControl w:val="0"/>
        <w:rPr>
          <w:snapToGrid w:val="0"/>
          <w:color w:val="000000"/>
          <w:sz w:val="22"/>
          <w:szCs w:val="22"/>
        </w:rPr>
      </w:pPr>
    </w:p>
    <w:p w:rsidR="000017BD" w:rsidRDefault="000017BD" w:rsidP="000017BD">
      <w:pPr>
        <w:widowControl w:val="0"/>
        <w:rPr>
          <w:rFonts w:ascii="Tms Rmn" w:hAnsi="Tms Rmn"/>
          <w:snapToGrid w:val="0"/>
          <w:sz w:val="24"/>
          <w:szCs w:val="24"/>
        </w:rPr>
      </w:pPr>
      <w:r>
        <w:rPr>
          <w:rFonts w:ascii="Tms Rmn" w:hAnsi="Tms Rmn"/>
          <w:noProof/>
        </w:rPr>
        <w:drawing>
          <wp:inline distT="0" distB="0" distL="0" distR="0" wp14:anchorId="730F6238" wp14:editId="3037EBD1">
            <wp:extent cx="5166360" cy="5029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BD" w:rsidRDefault="000017BD" w:rsidP="000017BD">
      <w:pPr>
        <w:widowControl w:val="0"/>
        <w:rPr>
          <w:snapToGrid w:val="0"/>
          <w:color w:val="000000"/>
          <w:sz w:val="22"/>
          <w:szCs w:val="22"/>
        </w:rPr>
      </w:pPr>
    </w:p>
    <w:p w:rsidR="000017BD" w:rsidRDefault="000017BD" w:rsidP="000017BD">
      <w:pPr>
        <w:widowControl w:val="0"/>
        <w:rPr>
          <w:snapToGrid w:val="0"/>
          <w:color w:val="000000"/>
          <w:sz w:val="22"/>
          <w:szCs w:val="22"/>
        </w:rPr>
      </w:pPr>
    </w:p>
    <w:p w:rsidR="000017BD" w:rsidRPr="000017BD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a.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 xml:space="preserve">Explain clearly what should be the independent variable and what should be the dependent variable. </w:t>
      </w: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0017BD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>b.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>What is the forecasting equation</w:t>
      </w: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 suggested by the Excel output?</w:t>
      </w:r>
      <w:r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r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r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r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r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r>
        <w:rPr>
          <w:rFonts w:asciiTheme="majorHAnsi" w:hAnsiTheme="majorHAnsi"/>
          <w:snapToGrid w:val="0"/>
          <w:color w:val="000000"/>
          <w:sz w:val="24"/>
          <w:szCs w:val="24"/>
        </w:rPr>
        <w:tab/>
      </w: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>c.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 xml:space="preserve">Using the confidence interval method can you reject the Null hypothesis at the 5% level of significance? </w:t>
      </w: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lastRenderedPageBreak/>
        <w:tab/>
        <w:t xml:space="preserve"> </w:t>
      </w: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>d.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 xml:space="preserve">Using the t statistic method can you reject the Null hypothesis at the 5% level of significance? </w:t>
      </w: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>e.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 xml:space="preserve">What is the estimated price of a 5 year old </w:t>
      </w:r>
      <w:proofErr w:type="spellStart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Smogger</w:t>
      </w:r>
      <w:proofErr w:type="spellEnd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? </w:t>
      </w: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>f.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 xml:space="preserve">What is the correlation coefficient between age and price? </w:t>
      </w: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>g.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 xml:space="preserve">What is the maximum gain in forecasting information from an expansion of the model to include additional independent variable(s) and/or by a change in the form of the independent variable? </w:t>
      </w: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>h.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 xml:space="preserve">What percent of the estimated price can be explained by the age of the used car? </w:t>
      </w:r>
    </w:p>
    <w:p w:rsidR="000017BD" w:rsidRPr="00B91ED8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0017BD" w:rsidRPr="00B91ED8" w:rsidRDefault="000017BD" w:rsidP="000017BD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>i.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  <w:t xml:space="preserve">What is the correlation coefficient between age and price? </w:t>
      </w:r>
    </w:p>
    <w:p w:rsidR="000017BD" w:rsidRPr="00B91ED8" w:rsidRDefault="000017BD" w:rsidP="000017BD">
      <w:pPr>
        <w:rPr>
          <w:rFonts w:asciiTheme="majorHAnsi" w:hAnsiTheme="majorHAnsi"/>
          <w:sz w:val="24"/>
          <w:szCs w:val="24"/>
        </w:rPr>
      </w:pPr>
    </w:p>
    <w:p w:rsidR="000017BD" w:rsidRPr="00B91ED8" w:rsidRDefault="000017BD" w:rsidP="000017BD">
      <w:pPr>
        <w:rPr>
          <w:rFonts w:asciiTheme="majorHAnsi" w:hAnsiTheme="majorHAnsi"/>
          <w:sz w:val="24"/>
          <w:szCs w:val="24"/>
        </w:rPr>
      </w:pPr>
    </w:p>
    <w:p w:rsidR="00C400AB" w:rsidRDefault="000017BD"/>
    <w:sectPr w:rsidR="00C4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BD"/>
    <w:rsid w:val="000017BD"/>
    <w:rsid w:val="001C4005"/>
    <w:rsid w:val="00E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2012-10-04T23:33:00Z</dcterms:created>
  <dcterms:modified xsi:type="dcterms:W3CDTF">2012-10-04T23:36:00Z</dcterms:modified>
</cp:coreProperties>
</file>