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5D7" w:rsidRPr="00DD75D7" w:rsidRDefault="00DD75D7" w:rsidP="00DD75D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D75D7">
        <w:rPr>
          <w:rFonts w:ascii="Times New Roman" w:eastAsia="Times New Roman" w:hAnsi="Times New Roman" w:cs="Times New Roman"/>
          <w:b/>
          <w:bCs/>
          <w:sz w:val="27"/>
          <w:szCs w:val="27"/>
        </w:rPr>
        <w:t>Michael A. Smyth</w:t>
      </w:r>
    </w:p>
    <w:p w:rsidR="00DD75D7" w:rsidRPr="00DD75D7" w:rsidRDefault="00DD75D7" w:rsidP="00DD75D7">
      <w:pPr>
        <w:spacing w:before="100" w:beforeAutospacing="1" w:after="100" w:afterAutospacing="1" w:line="240" w:lineRule="auto"/>
        <w:jc w:val="center"/>
        <w:outlineLvl w:val="3"/>
        <w:rPr>
          <w:rFonts w:ascii="Times New Roman" w:eastAsia="Times New Roman" w:hAnsi="Times New Roman" w:cs="Times New Roman"/>
          <w:b/>
          <w:bCs/>
          <w:sz w:val="27"/>
          <w:szCs w:val="27"/>
        </w:rPr>
      </w:pPr>
      <w:r w:rsidRPr="00DD75D7">
        <w:rPr>
          <w:rFonts w:ascii="Times New Roman" w:eastAsia="Times New Roman" w:hAnsi="Times New Roman" w:cs="Times New Roman"/>
          <w:b/>
          <w:bCs/>
          <w:sz w:val="27"/>
          <w:szCs w:val="27"/>
        </w:rPr>
        <w:t>v.</w:t>
      </w:r>
    </w:p>
    <w:p w:rsidR="00DD75D7" w:rsidRPr="00DD75D7" w:rsidRDefault="00DD75D7" w:rsidP="00DD75D7">
      <w:pPr>
        <w:spacing w:before="100" w:beforeAutospacing="1" w:after="100" w:afterAutospacing="1" w:line="240" w:lineRule="auto"/>
        <w:jc w:val="center"/>
        <w:outlineLvl w:val="3"/>
        <w:rPr>
          <w:rFonts w:ascii="Times New Roman" w:eastAsia="Times New Roman" w:hAnsi="Times New Roman" w:cs="Times New Roman"/>
          <w:b/>
          <w:bCs/>
          <w:sz w:val="27"/>
          <w:szCs w:val="27"/>
        </w:rPr>
      </w:pPr>
      <w:r w:rsidRPr="00DD75D7">
        <w:rPr>
          <w:rFonts w:ascii="Times New Roman" w:eastAsia="Times New Roman" w:hAnsi="Times New Roman" w:cs="Times New Roman"/>
          <w:b/>
          <w:bCs/>
          <w:sz w:val="27"/>
          <w:szCs w:val="27"/>
        </w:rPr>
        <w:t>The Pillsbury Company</w:t>
      </w:r>
    </w:p>
    <w:p w:rsidR="00DD75D7" w:rsidRPr="00DD75D7" w:rsidRDefault="00DD75D7" w:rsidP="00DD75D7">
      <w:pPr>
        <w:spacing w:after="0" w:line="240" w:lineRule="auto"/>
        <w:jc w:val="center"/>
        <w:rPr>
          <w:rFonts w:ascii="Times New Roman" w:eastAsia="Times New Roman" w:hAnsi="Times New Roman" w:cs="Times New Roman"/>
          <w:sz w:val="24"/>
          <w:szCs w:val="24"/>
        </w:rPr>
      </w:pPr>
      <w:r w:rsidRPr="00DD75D7">
        <w:rPr>
          <w:rFonts w:ascii="Times New Roman" w:eastAsia="Times New Roman" w:hAnsi="Times New Roman" w:cs="Times New Roman"/>
          <w:sz w:val="24"/>
          <w:szCs w:val="24"/>
        </w:rPr>
        <w:t>C.A. NO. 95-5712</w:t>
      </w:r>
    </w:p>
    <w:p w:rsidR="00DD75D7" w:rsidRPr="00DD75D7" w:rsidRDefault="00DD75D7" w:rsidP="00DD75D7">
      <w:pPr>
        <w:spacing w:before="100" w:beforeAutospacing="1" w:after="100" w:afterAutospacing="1" w:line="240" w:lineRule="auto"/>
        <w:jc w:val="center"/>
        <w:rPr>
          <w:rFonts w:ascii="Times New Roman" w:eastAsia="Times New Roman" w:hAnsi="Times New Roman" w:cs="Times New Roman"/>
          <w:sz w:val="24"/>
          <w:szCs w:val="24"/>
        </w:rPr>
      </w:pPr>
      <w:r w:rsidRPr="00DD75D7">
        <w:rPr>
          <w:rFonts w:ascii="Times New Roman" w:eastAsia="Times New Roman" w:hAnsi="Times New Roman" w:cs="Times New Roman"/>
          <w:sz w:val="24"/>
          <w:szCs w:val="24"/>
        </w:rPr>
        <w:t>UNITED STATES DISTRICT COURT FOR THE EASTERN DISTRICT OF PENNSYLVANIA</w:t>
      </w:r>
    </w:p>
    <w:p w:rsidR="00DD75D7" w:rsidRPr="00DD75D7" w:rsidRDefault="00DD75D7" w:rsidP="00DD75D7">
      <w:pPr>
        <w:spacing w:before="100" w:beforeAutospacing="1" w:after="100" w:afterAutospacing="1" w:line="240" w:lineRule="auto"/>
        <w:jc w:val="center"/>
        <w:rPr>
          <w:rFonts w:ascii="Times New Roman" w:eastAsia="Times New Roman" w:hAnsi="Times New Roman" w:cs="Times New Roman"/>
          <w:sz w:val="24"/>
          <w:szCs w:val="24"/>
        </w:rPr>
      </w:pPr>
      <w:r w:rsidRPr="00DD75D7">
        <w:rPr>
          <w:rFonts w:ascii="Times New Roman" w:eastAsia="Times New Roman" w:hAnsi="Times New Roman" w:cs="Times New Roman"/>
          <w:sz w:val="24"/>
          <w:szCs w:val="24"/>
        </w:rPr>
        <w:t>January 18, 1996, Decided</w:t>
      </w:r>
      <w:r w:rsidRPr="00DD75D7">
        <w:rPr>
          <w:rFonts w:ascii="Times New Roman" w:eastAsia="Times New Roman" w:hAnsi="Times New Roman" w:cs="Times New Roman"/>
          <w:sz w:val="24"/>
          <w:szCs w:val="24"/>
        </w:rPr>
        <w:br/>
        <w:t>January 23, 1996, FILED</w:t>
      </w:r>
    </w:p>
    <w:p w:rsidR="00DD75D7" w:rsidRPr="00DD75D7" w:rsidRDefault="00DD75D7" w:rsidP="00DD75D7">
      <w:pPr>
        <w:spacing w:after="0" w:line="240" w:lineRule="auto"/>
        <w:rPr>
          <w:rFonts w:ascii="Times New Roman" w:eastAsia="Times New Roman" w:hAnsi="Times New Roman" w:cs="Times New Roman"/>
          <w:sz w:val="24"/>
          <w:szCs w:val="24"/>
        </w:rPr>
      </w:pPr>
      <w:r w:rsidRPr="00DD75D7">
        <w:rPr>
          <w:rFonts w:ascii="Times New Roman" w:eastAsia="Times New Roman" w:hAnsi="Times New Roman" w:cs="Times New Roman"/>
          <w:sz w:val="24"/>
          <w:szCs w:val="24"/>
        </w:rPr>
        <w:t>For MICHAEL A. SMYTH, PLAINTIFF: HYMAN LOVITZ, SIDNEY L. GOLD, LOVITZ &amp; GOLD, P.C., PHILA, PA.</w:t>
      </w:r>
    </w:p>
    <w:p w:rsidR="00DD75D7" w:rsidRPr="00DD75D7" w:rsidRDefault="00DD75D7" w:rsidP="00DD75D7">
      <w:pPr>
        <w:spacing w:before="100" w:beforeAutospacing="1" w:after="100" w:afterAutospacing="1" w:line="240" w:lineRule="auto"/>
        <w:rPr>
          <w:rFonts w:ascii="Times New Roman" w:eastAsia="Times New Roman" w:hAnsi="Times New Roman" w:cs="Times New Roman"/>
          <w:sz w:val="24"/>
          <w:szCs w:val="24"/>
        </w:rPr>
      </w:pPr>
      <w:r w:rsidRPr="00DD75D7">
        <w:rPr>
          <w:rFonts w:ascii="Times New Roman" w:eastAsia="Times New Roman" w:hAnsi="Times New Roman" w:cs="Times New Roman"/>
          <w:sz w:val="24"/>
          <w:szCs w:val="24"/>
        </w:rPr>
        <w:t>For THE PILLSBURY COMPANY, DEFENDANT: STEVEN R. WALL, MORGAN, LEWIS &amp; BOCKIUS, PHILA, PA.</w:t>
      </w:r>
    </w:p>
    <w:p w:rsidR="00DD75D7" w:rsidRPr="00DD75D7" w:rsidRDefault="00DD75D7" w:rsidP="00DD75D7">
      <w:pPr>
        <w:spacing w:before="100" w:beforeAutospacing="1" w:after="100" w:afterAutospacing="1" w:line="240" w:lineRule="auto"/>
        <w:rPr>
          <w:rFonts w:ascii="Times New Roman" w:eastAsia="Times New Roman" w:hAnsi="Times New Roman" w:cs="Times New Roman"/>
          <w:sz w:val="24"/>
          <w:szCs w:val="24"/>
        </w:rPr>
      </w:pPr>
      <w:r w:rsidRPr="00DD75D7">
        <w:rPr>
          <w:rFonts w:ascii="Times New Roman" w:eastAsia="Times New Roman" w:hAnsi="Times New Roman" w:cs="Times New Roman"/>
          <w:sz w:val="24"/>
          <w:szCs w:val="24"/>
        </w:rPr>
        <w:t>MEMORANDUM OPINION AND ORDER</w:t>
      </w:r>
    </w:p>
    <w:p w:rsidR="00DD75D7" w:rsidRPr="00DD75D7" w:rsidRDefault="00DD75D7" w:rsidP="00DD75D7">
      <w:pPr>
        <w:spacing w:after="0" w:line="240" w:lineRule="auto"/>
        <w:rPr>
          <w:rFonts w:ascii="Times New Roman" w:eastAsia="Times New Roman" w:hAnsi="Times New Roman" w:cs="Times New Roman"/>
          <w:sz w:val="24"/>
          <w:szCs w:val="24"/>
        </w:rPr>
      </w:pPr>
      <w:r w:rsidRPr="00DD75D7">
        <w:rPr>
          <w:rFonts w:ascii="Times New Roman" w:eastAsia="Times New Roman" w:hAnsi="Times New Roman" w:cs="Times New Roman"/>
          <w:sz w:val="24"/>
          <w:szCs w:val="24"/>
        </w:rPr>
        <w:pict>
          <v:rect id="_x0000_i1025" style="width:0;height:1.5pt" o:hralign="center" o:hrstd="t" o:hr="t" fillcolor="#a0a0a0" stroked="f"/>
        </w:pict>
      </w:r>
    </w:p>
    <w:p w:rsidR="00DD75D7" w:rsidRPr="00DD75D7" w:rsidRDefault="00DD75D7" w:rsidP="00DD75D7">
      <w:pPr>
        <w:spacing w:after="0" w:line="240" w:lineRule="auto"/>
        <w:rPr>
          <w:rFonts w:ascii="Times New Roman" w:eastAsia="Times New Roman" w:hAnsi="Times New Roman" w:cs="Times New Roman"/>
          <w:sz w:val="24"/>
          <w:szCs w:val="24"/>
        </w:rPr>
      </w:pPr>
      <w:r w:rsidRPr="00DD75D7">
        <w:rPr>
          <w:rFonts w:ascii="Times New Roman" w:eastAsia="Times New Roman" w:hAnsi="Times New Roman" w:cs="Times New Roman"/>
          <w:sz w:val="24"/>
          <w:szCs w:val="24"/>
        </w:rPr>
        <w:t>WEINER, J.</w:t>
      </w:r>
    </w:p>
    <w:p w:rsidR="00DD75D7" w:rsidRPr="00DD75D7" w:rsidRDefault="00DD75D7" w:rsidP="00DD75D7">
      <w:pPr>
        <w:spacing w:before="100" w:beforeAutospacing="1" w:after="100" w:afterAutospacing="1" w:line="240" w:lineRule="auto"/>
        <w:rPr>
          <w:rFonts w:ascii="Times New Roman" w:eastAsia="Times New Roman" w:hAnsi="Times New Roman" w:cs="Times New Roman"/>
          <w:sz w:val="24"/>
          <w:szCs w:val="24"/>
        </w:rPr>
      </w:pPr>
      <w:r w:rsidRPr="00DD75D7">
        <w:rPr>
          <w:rFonts w:ascii="Times New Roman" w:eastAsia="Times New Roman" w:hAnsi="Times New Roman" w:cs="Times New Roman"/>
          <w:sz w:val="24"/>
          <w:szCs w:val="24"/>
        </w:rPr>
        <w:t>JANUARY 18, 1996</w:t>
      </w:r>
    </w:p>
    <w:p w:rsidR="00DD75D7" w:rsidRPr="00DD75D7" w:rsidRDefault="00DD75D7" w:rsidP="00DD75D7">
      <w:pPr>
        <w:spacing w:before="100" w:beforeAutospacing="1" w:after="100" w:afterAutospacing="1" w:line="240" w:lineRule="auto"/>
        <w:rPr>
          <w:rFonts w:ascii="Times New Roman" w:eastAsia="Times New Roman" w:hAnsi="Times New Roman" w:cs="Times New Roman"/>
          <w:sz w:val="24"/>
          <w:szCs w:val="24"/>
        </w:rPr>
      </w:pPr>
      <w:r w:rsidRPr="00DD75D7">
        <w:rPr>
          <w:rFonts w:ascii="Times New Roman" w:eastAsia="Times New Roman" w:hAnsi="Times New Roman" w:cs="Times New Roman"/>
          <w:sz w:val="24"/>
          <w:szCs w:val="24"/>
        </w:rPr>
        <w:t>In this diversity action, plaintiff, an at-will employee, claims he was wrongfully discharged from his position as a regional operations manager by the defendant. Presently before the court is the motion of the defendant to dismiss pursuant to Rule 12(b)(6) of the Federal Rules of Civil Procedure. For the reasons which follow, the motion is granted.</w:t>
      </w:r>
    </w:p>
    <w:p w:rsidR="00DD75D7" w:rsidRPr="00DD75D7" w:rsidRDefault="00DD75D7" w:rsidP="00DD75D7">
      <w:pPr>
        <w:spacing w:before="100" w:beforeAutospacing="1" w:after="100" w:afterAutospacing="1" w:line="240" w:lineRule="auto"/>
        <w:rPr>
          <w:rFonts w:ascii="Times New Roman" w:eastAsia="Times New Roman" w:hAnsi="Times New Roman" w:cs="Times New Roman"/>
          <w:sz w:val="24"/>
          <w:szCs w:val="24"/>
        </w:rPr>
      </w:pPr>
      <w:r w:rsidRPr="00DD75D7">
        <w:rPr>
          <w:rFonts w:ascii="Times New Roman" w:eastAsia="Times New Roman" w:hAnsi="Times New Roman" w:cs="Times New Roman"/>
          <w:sz w:val="24"/>
          <w:szCs w:val="24"/>
        </w:rPr>
        <w:t xml:space="preserve">A claim may be dismissed under Fed.R.Civ.P. 12(b)(6) only if the plaintiff can prove no set of facts in support of the claim that would entitle him to relief. </w:t>
      </w:r>
      <w:r w:rsidRPr="00DD75D7">
        <w:rPr>
          <w:rFonts w:ascii="Times New Roman" w:eastAsia="Times New Roman" w:hAnsi="Times New Roman" w:cs="Times New Roman"/>
          <w:i/>
          <w:iCs/>
          <w:sz w:val="24"/>
          <w:szCs w:val="24"/>
        </w:rPr>
        <w:t>ALA, Inc. v. CCAIR, Inc</w:t>
      </w:r>
      <w:r w:rsidRPr="00DD75D7">
        <w:rPr>
          <w:rFonts w:ascii="Times New Roman" w:eastAsia="Times New Roman" w:hAnsi="Times New Roman" w:cs="Times New Roman"/>
          <w:sz w:val="24"/>
          <w:szCs w:val="24"/>
        </w:rPr>
        <w:t xml:space="preserve">., 29 F.3d 855, 859 (3d Cir. 1994). The reviewing court must consider only those facts alleged in the Complaint and accept all of the allegations as true. </w:t>
      </w:r>
      <w:r w:rsidRPr="00DD75D7">
        <w:rPr>
          <w:rFonts w:ascii="Times New Roman" w:eastAsia="Times New Roman" w:hAnsi="Times New Roman" w:cs="Times New Roman"/>
          <w:i/>
          <w:iCs/>
          <w:sz w:val="24"/>
          <w:szCs w:val="24"/>
        </w:rPr>
        <w:t>Id</w:t>
      </w:r>
      <w:r w:rsidRPr="00DD75D7">
        <w:rPr>
          <w:rFonts w:ascii="Times New Roman" w:eastAsia="Times New Roman" w:hAnsi="Times New Roman" w:cs="Times New Roman"/>
          <w:sz w:val="24"/>
          <w:szCs w:val="24"/>
        </w:rPr>
        <w:t>. Applying this standard, we find that plaintiff has failed to state a claim upon which relief can be granted.</w:t>
      </w:r>
    </w:p>
    <w:p w:rsidR="00DD75D7" w:rsidRPr="00DD75D7" w:rsidRDefault="00DD75D7" w:rsidP="00DD75D7">
      <w:pPr>
        <w:spacing w:before="100" w:beforeAutospacing="1" w:after="100" w:afterAutospacing="1" w:line="240" w:lineRule="auto"/>
        <w:rPr>
          <w:rFonts w:ascii="Times New Roman" w:eastAsia="Times New Roman" w:hAnsi="Times New Roman" w:cs="Times New Roman"/>
          <w:sz w:val="24"/>
          <w:szCs w:val="24"/>
        </w:rPr>
      </w:pPr>
      <w:r w:rsidRPr="00DD75D7">
        <w:rPr>
          <w:rFonts w:ascii="Times New Roman" w:eastAsia="Times New Roman" w:hAnsi="Times New Roman" w:cs="Times New Roman"/>
          <w:sz w:val="24"/>
          <w:szCs w:val="24"/>
        </w:rPr>
        <w:t>Defendant maintained an electronic mail communication system ("e-mail") in order to promote internal corporate communications between its employees. Complaint at P 8. Defendant repeatedly assured its employees, including plaintiff, that all e-mail communications would remain confidential and privileged. Complaint at P 9. Defendant further assured its employees, including plaintiff, that e-mail communications could not be intercepted and used by defendant against its employees as grounds for termination or reprimand. Complaint at P 10.</w:t>
      </w:r>
    </w:p>
    <w:p w:rsidR="00DD75D7" w:rsidRPr="00DD75D7" w:rsidRDefault="00DD75D7" w:rsidP="00DD75D7">
      <w:pPr>
        <w:spacing w:before="100" w:beforeAutospacing="1" w:after="100" w:afterAutospacing="1" w:line="240" w:lineRule="auto"/>
        <w:rPr>
          <w:rFonts w:ascii="Times New Roman" w:eastAsia="Times New Roman" w:hAnsi="Times New Roman" w:cs="Times New Roman"/>
          <w:sz w:val="24"/>
          <w:szCs w:val="24"/>
        </w:rPr>
      </w:pPr>
      <w:r w:rsidRPr="00DD75D7">
        <w:rPr>
          <w:rFonts w:ascii="Times New Roman" w:eastAsia="Times New Roman" w:hAnsi="Times New Roman" w:cs="Times New Roman"/>
          <w:sz w:val="24"/>
          <w:szCs w:val="24"/>
        </w:rPr>
        <w:lastRenderedPageBreak/>
        <w:t xml:space="preserve">In October 1994, plaintiff received certain e-mail communications from his supervisor over defendant's e-mail system on his computer at home. Complaint at P 11. In reliance on defendant's assurances regarding defendant's e-mail system, plaintiff responded and exchanged e-mails with his supervisor. </w:t>
      </w:r>
      <w:r w:rsidRPr="00DD75D7">
        <w:rPr>
          <w:rFonts w:ascii="Times New Roman" w:eastAsia="Times New Roman" w:hAnsi="Times New Roman" w:cs="Times New Roman"/>
          <w:i/>
          <w:iCs/>
          <w:sz w:val="24"/>
          <w:szCs w:val="24"/>
        </w:rPr>
        <w:t>Id</w:t>
      </w:r>
      <w:r w:rsidRPr="00DD75D7">
        <w:rPr>
          <w:rFonts w:ascii="Times New Roman" w:eastAsia="Times New Roman" w:hAnsi="Times New Roman" w:cs="Times New Roman"/>
          <w:sz w:val="24"/>
          <w:szCs w:val="24"/>
        </w:rPr>
        <w:t xml:space="preserve">. At some later date, contrary to the assurances of confidentiality made by defendant, defendant, acting through its agents, servants and employees, intercepted plaintiffs private e-mail messages made in October 1994. Complaint at P 12. On January 17, 1995, defendant notified plaintiff that it was terminating his employment effective February 1, 1995, for transmitting what it deemed to be inappropriate and unprofessional comments </w:t>
      </w:r>
      <w:hyperlink r:id="rId5" w:anchor="fn1" w:history="1">
        <w:r w:rsidRPr="00DD75D7">
          <w:rPr>
            <w:rFonts w:ascii="Times New Roman" w:eastAsia="Times New Roman" w:hAnsi="Times New Roman" w:cs="Times New Roman"/>
            <w:color w:val="0000FF"/>
            <w:sz w:val="24"/>
            <w:szCs w:val="24"/>
            <w:u w:val="single"/>
          </w:rPr>
          <w:t>[FN1]</w:t>
        </w:r>
      </w:hyperlink>
      <w:r w:rsidRPr="00DD75D7">
        <w:rPr>
          <w:rFonts w:ascii="Times New Roman" w:eastAsia="Times New Roman" w:hAnsi="Times New Roman" w:cs="Times New Roman"/>
          <w:sz w:val="24"/>
          <w:szCs w:val="24"/>
        </w:rPr>
        <w:t xml:space="preserve"> over defendant's e-mail system in October, 1994. Complaint at PP 13, 14.</w:t>
      </w:r>
    </w:p>
    <w:p w:rsidR="00DD75D7" w:rsidRPr="00DD75D7" w:rsidRDefault="00DD75D7" w:rsidP="00DD75D7">
      <w:pPr>
        <w:spacing w:before="100" w:beforeAutospacing="1" w:after="100" w:afterAutospacing="1" w:line="240" w:lineRule="auto"/>
        <w:rPr>
          <w:rFonts w:ascii="Times New Roman" w:eastAsia="Times New Roman" w:hAnsi="Times New Roman" w:cs="Times New Roman"/>
          <w:sz w:val="24"/>
          <w:szCs w:val="24"/>
        </w:rPr>
      </w:pPr>
      <w:r w:rsidRPr="00DD75D7">
        <w:rPr>
          <w:rFonts w:ascii="Times New Roman" w:eastAsia="Times New Roman" w:hAnsi="Times New Roman" w:cs="Times New Roman"/>
          <w:sz w:val="24"/>
          <w:szCs w:val="24"/>
        </w:rPr>
        <w:t xml:space="preserve">As a general rule, Pennsylvania law does not provide a common law cause of action for the wrongful discharge of an at-will employee such as plaintiff. </w:t>
      </w:r>
      <w:r w:rsidRPr="00DD75D7">
        <w:rPr>
          <w:rFonts w:ascii="Times New Roman" w:eastAsia="Times New Roman" w:hAnsi="Times New Roman" w:cs="Times New Roman"/>
          <w:i/>
          <w:iCs/>
          <w:sz w:val="24"/>
          <w:szCs w:val="24"/>
        </w:rPr>
        <w:t>Borse v. Piece Goods Shop, Inc</w:t>
      </w:r>
      <w:r w:rsidRPr="00DD75D7">
        <w:rPr>
          <w:rFonts w:ascii="Times New Roman" w:eastAsia="Times New Roman" w:hAnsi="Times New Roman" w:cs="Times New Roman"/>
          <w:sz w:val="24"/>
          <w:szCs w:val="24"/>
        </w:rPr>
        <w:t xml:space="preserve">., 963 F.2d 611, 614 (3d Cir. 1992); </w:t>
      </w:r>
      <w:r w:rsidRPr="00DD75D7">
        <w:rPr>
          <w:rFonts w:ascii="Times New Roman" w:eastAsia="Times New Roman" w:hAnsi="Times New Roman" w:cs="Times New Roman"/>
          <w:i/>
          <w:iCs/>
          <w:sz w:val="24"/>
          <w:szCs w:val="24"/>
        </w:rPr>
        <w:t>Paul v. Lankenau Hospital</w:t>
      </w:r>
      <w:r w:rsidRPr="00DD75D7">
        <w:rPr>
          <w:rFonts w:ascii="Times New Roman" w:eastAsia="Times New Roman" w:hAnsi="Times New Roman" w:cs="Times New Roman"/>
          <w:sz w:val="24"/>
          <w:szCs w:val="24"/>
        </w:rPr>
        <w:t xml:space="preserve">, 524 Pa. 90, 93, 569 A.2d 346, 348 (1990); </w:t>
      </w:r>
      <w:r w:rsidRPr="00DD75D7">
        <w:rPr>
          <w:rFonts w:ascii="Times New Roman" w:eastAsia="Times New Roman" w:hAnsi="Times New Roman" w:cs="Times New Roman"/>
          <w:i/>
          <w:iCs/>
          <w:sz w:val="24"/>
          <w:szCs w:val="24"/>
        </w:rPr>
        <w:t>Geary v. United States Steel Corp</w:t>
      </w:r>
      <w:r w:rsidRPr="00DD75D7">
        <w:rPr>
          <w:rFonts w:ascii="Times New Roman" w:eastAsia="Times New Roman" w:hAnsi="Times New Roman" w:cs="Times New Roman"/>
          <w:sz w:val="24"/>
          <w:szCs w:val="24"/>
        </w:rPr>
        <w:t xml:space="preserve">., 456 Pa. 171, 319 A.2d 174 (1974). Pennsylvania is an employment at-will jurisdiction and an employer "may discharge an employee with or without cause, at pleasure, unless restrained by some contract." </w:t>
      </w:r>
      <w:r w:rsidRPr="00DD75D7">
        <w:rPr>
          <w:rFonts w:ascii="Times New Roman" w:eastAsia="Times New Roman" w:hAnsi="Times New Roman" w:cs="Times New Roman"/>
          <w:i/>
          <w:iCs/>
          <w:sz w:val="24"/>
          <w:szCs w:val="24"/>
        </w:rPr>
        <w:t>Henry v. Pittsburgh &amp; Lake Erie Railroad Co</w:t>
      </w:r>
      <w:r w:rsidRPr="00DD75D7">
        <w:rPr>
          <w:rFonts w:ascii="Times New Roman" w:eastAsia="Times New Roman" w:hAnsi="Times New Roman" w:cs="Times New Roman"/>
          <w:sz w:val="24"/>
          <w:szCs w:val="24"/>
        </w:rPr>
        <w:t xml:space="preserve">., 139 Pa. 289, 297, 21 A. 157, 157 (1891). </w:t>
      </w:r>
      <w:r w:rsidRPr="00DD75D7">
        <w:rPr>
          <w:rFonts w:ascii="Times New Roman" w:eastAsia="Times New Roman" w:hAnsi="Times New Roman" w:cs="Times New Roman"/>
          <w:i/>
          <w:iCs/>
          <w:sz w:val="24"/>
          <w:szCs w:val="24"/>
        </w:rPr>
        <w:t>See also, Johnson v. Resources for Human Development, Inc</w:t>
      </w:r>
      <w:r w:rsidRPr="00DD75D7">
        <w:rPr>
          <w:rFonts w:ascii="Times New Roman" w:eastAsia="Times New Roman" w:hAnsi="Times New Roman" w:cs="Times New Roman"/>
          <w:sz w:val="24"/>
          <w:szCs w:val="24"/>
        </w:rPr>
        <w:t xml:space="preserve">., 843 F. Supp. 974, 979 (E.D. Pa. 1994); Brown v. Hammond, 810 F. Supp. 644, 645 (E.D. Pa. 1993) (An employer's right to terminate an at-will employee is "virtually absolute".); </w:t>
      </w:r>
      <w:r w:rsidRPr="00DD75D7">
        <w:rPr>
          <w:rFonts w:ascii="Times New Roman" w:eastAsia="Times New Roman" w:hAnsi="Times New Roman" w:cs="Times New Roman"/>
          <w:i/>
          <w:iCs/>
          <w:sz w:val="24"/>
          <w:szCs w:val="24"/>
        </w:rPr>
        <w:t>Yetter v. Ward Trucking Corp</w:t>
      </w:r>
      <w:r w:rsidRPr="00DD75D7">
        <w:rPr>
          <w:rFonts w:ascii="Times New Roman" w:eastAsia="Times New Roman" w:hAnsi="Times New Roman" w:cs="Times New Roman"/>
          <w:sz w:val="24"/>
          <w:szCs w:val="24"/>
        </w:rPr>
        <w:t>., 401 Pa. Super. 467, 585 A.2d 1022 (1991).</w:t>
      </w:r>
    </w:p>
    <w:p w:rsidR="00DD75D7" w:rsidRPr="00DD75D7" w:rsidRDefault="00DD75D7" w:rsidP="00DD75D7">
      <w:pPr>
        <w:spacing w:before="100" w:beforeAutospacing="1" w:after="100" w:afterAutospacing="1" w:line="240" w:lineRule="auto"/>
        <w:rPr>
          <w:rFonts w:ascii="Times New Roman" w:eastAsia="Times New Roman" w:hAnsi="Times New Roman" w:cs="Times New Roman"/>
          <w:sz w:val="24"/>
          <w:szCs w:val="24"/>
        </w:rPr>
      </w:pPr>
      <w:r w:rsidRPr="00DD75D7">
        <w:rPr>
          <w:rFonts w:ascii="Times New Roman" w:eastAsia="Times New Roman" w:hAnsi="Times New Roman" w:cs="Times New Roman"/>
          <w:sz w:val="24"/>
          <w:szCs w:val="24"/>
        </w:rPr>
        <w:t xml:space="preserve">However, in the most limited of circumstances, exceptions have been recognized where discharge of an at-will employee threatens or violates a clear mandate of public policy. </w:t>
      </w:r>
      <w:r w:rsidRPr="00DD75D7">
        <w:rPr>
          <w:rFonts w:ascii="Times New Roman" w:eastAsia="Times New Roman" w:hAnsi="Times New Roman" w:cs="Times New Roman"/>
          <w:i/>
          <w:iCs/>
          <w:sz w:val="24"/>
          <w:szCs w:val="24"/>
        </w:rPr>
        <w:t>Borse</w:t>
      </w:r>
      <w:r w:rsidRPr="00DD75D7">
        <w:rPr>
          <w:rFonts w:ascii="Times New Roman" w:eastAsia="Times New Roman" w:hAnsi="Times New Roman" w:cs="Times New Roman"/>
          <w:sz w:val="24"/>
          <w:szCs w:val="24"/>
        </w:rPr>
        <w:t xml:space="preserve">, 963 F.2d at 614; </w:t>
      </w:r>
      <w:r w:rsidRPr="00DD75D7">
        <w:rPr>
          <w:rFonts w:ascii="Times New Roman" w:eastAsia="Times New Roman" w:hAnsi="Times New Roman" w:cs="Times New Roman"/>
          <w:i/>
          <w:iCs/>
          <w:sz w:val="24"/>
          <w:szCs w:val="24"/>
        </w:rPr>
        <w:t>Clay v. Advanced Computer Applications</w:t>
      </w:r>
      <w:r w:rsidRPr="00DD75D7">
        <w:rPr>
          <w:rFonts w:ascii="Times New Roman" w:eastAsia="Times New Roman" w:hAnsi="Times New Roman" w:cs="Times New Roman"/>
          <w:sz w:val="24"/>
          <w:szCs w:val="24"/>
        </w:rPr>
        <w:t xml:space="preserve">, 522 Pa. 86, 88, 559 A.2d 917, 918 (1989) (If discharge of at-will employee threatens clear mandates of public policy, there is a cause of action against the employer.); </w:t>
      </w:r>
      <w:r w:rsidRPr="00DD75D7">
        <w:rPr>
          <w:rFonts w:ascii="Times New Roman" w:eastAsia="Times New Roman" w:hAnsi="Times New Roman" w:cs="Times New Roman"/>
          <w:i/>
          <w:iCs/>
          <w:sz w:val="24"/>
          <w:szCs w:val="24"/>
        </w:rPr>
        <w:t>Geary, supra</w:t>
      </w:r>
      <w:r w:rsidRPr="00DD75D7">
        <w:rPr>
          <w:rFonts w:ascii="Times New Roman" w:eastAsia="Times New Roman" w:hAnsi="Times New Roman" w:cs="Times New Roman"/>
          <w:sz w:val="24"/>
          <w:szCs w:val="24"/>
        </w:rPr>
        <w:t xml:space="preserve">. A "clear mandate" of public policy must be of a type that "strikes at the heart of a citizen's social right, duties and responsibilities." </w:t>
      </w:r>
      <w:r w:rsidRPr="00DD75D7">
        <w:rPr>
          <w:rFonts w:ascii="Times New Roman" w:eastAsia="Times New Roman" w:hAnsi="Times New Roman" w:cs="Times New Roman"/>
          <w:i/>
          <w:iCs/>
          <w:sz w:val="24"/>
          <w:szCs w:val="24"/>
        </w:rPr>
        <w:t>Novosel v. Nationwide Insurance Co.</w:t>
      </w:r>
      <w:r w:rsidRPr="00DD75D7">
        <w:rPr>
          <w:rFonts w:ascii="Times New Roman" w:eastAsia="Times New Roman" w:hAnsi="Times New Roman" w:cs="Times New Roman"/>
          <w:sz w:val="24"/>
          <w:szCs w:val="24"/>
        </w:rPr>
        <w:t xml:space="preserve">, 721 F.2d 894, 899 (3d Cir. 1983). This recognized public policy exception is an especially narrow one. </w:t>
      </w:r>
      <w:r w:rsidRPr="00DD75D7">
        <w:rPr>
          <w:rFonts w:ascii="Times New Roman" w:eastAsia="Times New Roman" w:hAnsi="Times New Roman" w:cs="Times New Roman"/>
          <w:i/>
          <w:iCs/>
          <w:sz w:val="24"/>
          <w:szCs w:val="24"/>
        </w:rPr>
        <w:t>Burkholder v. Hutchinson</w:t>
      </w:r>
      <w:r w:rsidRPr="00DD75D7">
        <w:rPr>
          <w:rFonts w:ascii="Times New Roman" w:eastAsia="Times New Roman" w:hAnsi="Times New Roman" w:cs="Times New Roman"/>
          <w:sz w:val="24"/>
          <w:szCs w:val="24"/>
        </w:rPr>
        <w:t>, 403 Pa. Super. 498, 589 A.2d 721, 724 (1991). To date, the Pennsylvania Superior Court has only recognized three such exceptions.</w:t>
      </w:r>
    </w:p>
    <w:p w:rsidR="00DD75D7" w:rsidRPr="00DD75D7" w:rsidRDefault="00DD75D7" w:rsidP="00DD75D7">
      <w:pPr>
        <w:spacing w:before="100" w:beforeAutospacing="1" w:after="100" w:afterAutospacing="1" w:line="240" w:lineRule="auto"/>
        <w:rPr>
          <w:rFonts w:ascii="Times New Roman" w:eastAsia="Times New Roman" w:hAnsi="Times New Roman" w:cs="Times New Roman"/>
          <w:sz w:val="24"/>
          <w:szCs w:val="24"/>
        </w:rPr>
      </w:pPr>
      <w:r w:rsidRPr="00DD75D7">
        <w:rPr>
          <w:rFonts w:ascii="Times New Roman" w:eastAsia="Times New Roman" w:hAnsi="Times New Roman" w:cs="Times New Roman"/>
          <w:sz w:val="24"/>
          <w:szCs w:val="24"/>
        </w:rPr>
        <w:t xml:space="preserve">First, an employee may not be fired for serving on jury duty. </w:t>
      </w:r>
      <w:r w:rsidRPr="00DD75D7">
        <w:rPr>
          <w:rFonts w:ascii="Times New Roman" w:eastAsia="Times New Roman" w:hAnsi="Times New Roman" w:cs="Times New Roman"/>
          <w:i/>
          <w:iCs/>
          <w:sz w:val="24"/>
          <w:szCs w:val="24"/>
        </w:rPr>
        <w:t>Reuther v. Fowler &amp; Williams, Inc</w:t>
      </w:r>
      <w:r w:rsidRPr="00DD75D7">
        <w:rPr>
          <w:rFonts w:ascii="Times New Roman" w:eastAsia="Times New Roman" w:hAnsi="Times New Roman" w:cs="Times New Roman"/>
          <w:sz w:val="24"/>
          <w:szCs w:val="24"/>
        </w:rPr>
        <w:t xml:space="preserve">., 255 Pa. Super. 28, 386 A.2d 119 (1978). The </w:t>
      </w:r>
      <w:r w:rsidRPr="00DD75D7">
        <w:rPr>
          <w:rFonts w:ascii="Times New Roman" w:eastAsia="Times New Roman" w:hAnsi="Times New Roman" w:cs="Times New Roman"/>
          <w:i/>
          <w:iCs/>
          <w:sz w:val="24"/>
          <w:szCs w:val="24"/>
        </w:rPr>
        <w:t>Reuther</w:t>
      </w:r>
      <w:r w:rsidRPr="00DD75D7">
        <w:rPr>
          <w:rFonts w:ascii="Times New Roman" w:eastAsia="Times New Roman" w:hAnsi="Times New Roman" w:cs="Times New Roman"/>
          <w:sz w:val="24"/>
          <w:szCs w:val="24"/>
        </w:rPr>
        <w:t xml:space="preserve"> court cited the Pennsylvania constitution as well as the Pennsylvania statutes in concluding that "the necessity of having citizens freely available for jury service is just the sort of 'recognized facet of public policy' alluded to by our Supreme Court in </w:t>
      </w:r>
      <w:r w:rsidRPr="00DD75D7">
        <w:rPr>
          <w:rFonts w:ascii="Times New Roman" w:eastAsia="Times New Roman" w:hAnsi="Times New Roman" w:cs="Times New Roman"/>
          <w:i/>
          <w:iCs/>
          <w:sz w:val="24"/>
          <w:szCs w:val="24"/>
        </w:rPr>
        <w:t>Geary</w:t>
      </w:r>
      <w:r w:rsidRPr="00DD75D7">
        <w:rPr>
          <w:rFonts w:ascii="Times New Roman" w:eastAsia="Times New Roman" w:hAnsi="Times New Roman" w:cs="Times New Roman"/>
          <w:sz w:val="24"/>
          <w:szCs w:val="24"/>
        </w:rPr>
        <w:t>." 386 A.2d at 121.</w:t>
      </w:r>
    </w:p>
    <w:p w:rsidR="00DD75D7" w:rsidRPr="00DD75D7" w:rsidRDefault="00DD75D7" w:rsidP="00DD75D7">
      <w:pPr>
        <w:spacing w:before="100" w:beforeAutospacing="1" w:after="100" w:afterAutospacing="1" w:line="240" w:lineRule="auto"/>
        <w:rPr>
          <w:rFonts w:ascii="Times New Roman" w:eastAsia="Times New Roman" w:hAnsi="Times New Roman" w:cs="Times New Roman"/>
          <w:sz w:val="24"/>
          <w:szCs w:val="24"/>
        </w:rPr>
      </w:pPr>
      <w:r w:rsidRPr="00DD75D7">
        <w:rPr>
          <w:rFonts w:ascii="Times New Roman" w:eastAsia="Times New Roman" w:hAnsi="Times New Roman" w:cs="Times New Roman"/>
          <w:sz w:val="24"/>
          <w:szCs w:val="24"/>
        </w:rPr>
        <w:t xml:space="preserve">Second, an employer may not deny employment to a person with a prior conviction. </w:t>
      </w:r>
      <w:r w:rsidRPr="00DD75D7">
        <w:rPr>
          <w:rFonts w:ascii="Times New Roman" w:eastAsia="Times New Roman" w:hAnsi="Times New Roman" w:cs="Times New Roman"/>
          <w:i/>
          <w:iCs/>
          <w:sz w:val="24"/>
          <w:szCs w:val="24"/>
        </w:rPr>
        <w:t>Hunter v. Port Authority of Allegheny County</w:t>
      </w:r>
      <w:r w:rsidRPr="00DD75D7">
        <w:rPr>
          <w:rFonts w:ascii="Times New Roman" w:eastAsia="Times New Roman" w:hAnsi="Times New Roman" w:cs="Times New Roman"/>
          <w:sz w:val="24"/>
          <w:szCs w:val="24"/>
        </w:rPr>
        <w:t xml:space="preserve">, 277 Pa. Super. 4, 419 A.2d 631 (1980). The </w:t>
      </w:r>
      <w:r w:rsidRPr="00DD75D7">
        <w:rPr>
          <w:rFonts w:ascii="Times New Roman" w:eastAsia="Times New Roman" w:hAnsi="Times New Roman" w:cs="Times New Roman"/>
          <w:i/>
          <w:iCs/>
          <w:sz w:val="24"/>
          <w:szCs w:val="24"/>
        </w:rPr>
        <w:t>Hunter</w:t>
      </w:r>
      <w:r w:rsidRPr="00DD75D7">
        <w:rPr>
          <w:rFonts w:ascii="Times New Roman" w:eastAsia="Times New Roman" w:hAnsi="Times New Roman" w:cs="Times New Roman"/>
          <w:sz w:val="24"/>
          <w:szCs w:val="24"/>
        </w:rPr>
        <w:t xml:space="preserve"> court relied on federal court decisions as well as Pennsylvania statutes and Pennsylvania court decisions before concluding that the defendant violated the Pennsylvania constitution and "the deeply ingrained public policy of this State . . . to avoid unwarranted stigmatization of and unreasonable restrictions upon former offenders." 419 A.2d at 636, n.5.</w:t>
      </w:r>
    </w:p>
    <w:p w:rsidR="00DD75D7" w:rsidRPr="00DD75D7" w:rsidRDefault="00DD75D7" w:rsidP="00DD75D7">
      <w:pPr>
        <w:spacing w:before="100" w:beforeAutospacing="1" w:after="100" w:afterAutospacing="1" w:line="240" w:lineRule="auto"/>
        <w:rPr>
          <w:rFonts w:ascii="Times New Roman" w:eastAsia="Times New Roman" w:hAnsi="Times New Roman" w:cs="Times New Roman"/>
          <w:sz w:val="24"/>
          <w:szCs w:val="24"/>
        </w:rPr>
      </w:pPr>
      <w:r w:rsidRPr="00DD75D7">
        <w:rPr>
          <w:rFonts w:ascii="Times New Roman" w:eastAsia="Times New Roman" w:hAnsi="Times New Roman" w:cs="Times New Roman"/>
          <w:sz w:val="24"/>
          <w:szCs w:val="24"/>
        </w:rPr>
        <w:lastRenderedPageBreak/>
        <w:t xml:space="preserve">And finally, an employee may not be fired for reporting violations of federal regulations to the Nuclear Regulatory Commission. </w:t>
      </w:r>
      <w:r w:rsidRPr="00DD75D7">
        <w:rPr>
          <w:rFonts w:ascii="Times New Roman" w:eastAsia="Times New Roman" w:hAnsi="Times New Roman" w:cs="Times New Roman"/>
          <w:i/>
          <w:iCs/>
          <w:sz w:val="24"/>
          <w:szCs w:val="24"/>
        </w:rPr>
        <w:t>Field v. Philadelphia Electric Company</w:t>
      </w:r>
      <w:r w:rsidRPr="00DD75D7">
        <w:rPr>
          <w:rFonts w:ascii="Times New Roman" w:eastAsia="Times New Roman" w:hAnsi="Times New Roman" w:cs="Times New Roman"/>
          <w:sz w:val="24"/>
          <w:szCs w:val="24"/>
        </w:rPr>
        <w:t>, 388 Pa. Super. 400, 565 A.2d 1170, 1180 (1989). That court held that the alleged discharge was against public policy because federal law required the employee to report violations and he was an expert in the area and there was no evidence that he bypassed any internal chain of command. 565 A.2d at 1180.</w:t>
      </w:r>
    </w:p>
    <w:p w:rsidR="00DD75D7" w:rsidRPr="00DD75D7" w:rsidRDefault="00DD75D7" w:rsidP="00DD75D7">
      <w:pPr>
        <w:spacing w:before="100" w:beforeAutospacing="1" w:after="100" w:afterAutospacing="1" w:line="240" w:lineRule="auto"/>
        <w:rPr>
          <w:rFonts w:ascii="Times New Roman" w:eastAsia="Times New Roman" w:hAnsi="Times New Roman" w:cs="Times New Roman"/>
          <w:sz w:val="24"/>
          <w:szCs w:val="24"/>
        </w:rPr>
      </w:pPr>
      <w:r w:rsidRPr="00DD75D7">
        <w:rPr>
          <w:rFonts w:ascii="Times New Roman" w:eastAsia="Times New Roman" w:hAnsi="Times New Roman" w:cs="Times New Roman"/>
          <w:sz w:val="24"/>
          <w:szCs w:val="24"/>
        </w:rPr>
        <w:t xml:space="preserve">As evidenced above, a public policy exception must be clearly defined. </w:t>
      </w:r>
      <w:r w:rsidRPr="00DD75D7">
        <w:rPr>
          <w:rFonts w:ascii="Times New Roman" w:eastAsia="Times New Roman" w:hAnsi="Times New Roman" w:cs="Times New Roman"/>
          <w:i/>
          <w:iCs/>
          <w:sz w:val="24"/>
          <w:szCs w:val="24"/>
        </w:rPr>
        <w:t>See also, McGonagle v. Union Fidelity Corp</w:t>
      </w:r>
      <w:r w:rsidRPr="00DD75D7">
        <w:rPr>
          <w:rFonts w:ascii="Times New Roman" w:eastAsia="Times New Roman" w:hAnsi="Times New Roman" w:cs="Times New Roman"/>
          <w:sz w:val="24"/>
          <w:szCs w:val="24"/>
        </w:rPr>
        <w:t xml:space="preserve">., 383 Pa. Super. 223, 556 A.2d 878, 885 (1989), </w:t>
      </w:r>
      <w:r w:rsidRPr="00DD75D7">
        <w:rPr>
          <w:rFonts w:ascii="Times New Roman" w:eastAsia="Times New Roman" w:hAnsi="Times New Roman" w:cs="Times New Roman"/>
          <w:i/>
          <w:iCs/>
          <w:sz w:val="24"/>
          <w:szCs w:val="24"/>
        </w:rPr>
        <w:t>appeal denied</w:t>
      </w:r>
      <w:r w:rsidRPr="00DD75D7">
        <w:rPr>
          <w:rFonts w:ascii="Times New Roman" w:eastAsia="Times New Roman" w:hAnsi="Times New Roman" w:cs="Times New Roman"/>
          <w:sz w:val="24"/>
          <w:szCs w:val="24"/>
        </w:rPr>
        <w:t xml:space="preserve">, 525 Pa. 584, 575 A.2d 114 (1990) ("Unless an employee identifies a 'specific' expression of public policy violated by his discharge, it will not be labelled as wrongful and within the sphere of public policy"). The sources of public policy can be found in "legislation, administrative rules, regulation, or decision; and judicial decisions . . . Absent legislation, the judiciary must define the cause of action in case by case determinations." </w:t>
      </w:r>
      <w:r w:rsidRPr="00DD75D7">
        <w:rPr>
          <w:rFonts w:ascii="Times New Roman" w:eastAsia="Times New Roman" w:hAnsi="Times New Roman" w:cs="Times New Roman"/>
          <w:i/>
          <w:iCs/>
          <w:sz w:val="24"/>
          <w:szCs w:val="24"/>
        </w:rPr>
        <w:t>Borse</w:t>
      </w:r>
      <w:r w:rsidRPr="00DD75D7">
        <w:rPr>
          <w:rFonts w:ascii="Times New Roman" w:eastAsia="Times New Roman" w:hAnsi="Times New Roman" w:cs="Times New Roman"/>
          <w:sz w:val="24"/>
          <w:szCs w:val="24"/>
        </w:rPr>
        <w:t xml:space="preserve">, 963 F.2d at 619, n.6 (3d Cir. 1992) </w:t>
      </w:r>
      <w:r w:rsidRPr="00DD75D7">
        <w:rPr>
          <w:rFonts w:ascii="Times New Roman" w:eastAsia="Times New Roman" w:hAnsi="Times New Roman" w:cs="Times New Roman"/>
          <w:i/>
          <w:iCs/>
          <w:sz w:val="24"/>
          <w:szCs w:val="24"/>
        </w:rPr>
        <w:t>quoting Cisco v. United Parcel Services, Inc</w:t>
      </w:r>
      <w:r w:rsidRPr="00DD75D7">
        <w:rPr>
          <w:rFonts w:ascii="Times New Roman" w:eastAsia="Times New Roman" w:hAnsi="Times New Roman" w:cs="Times New Roman"/>
          <w:sz w:val="24"/>
          <w:szCs w:val="24"/>
        </w:rPr>
        <w:t xml:space="preserve">., 328 Pa. Super. 300, 306, 476 A.2d 1340, 1343 (1984); </w:t>
      </w:r>
      <w:r w:rsidRPr="00DD75D7">
        <w:rPr>
          <w:rFonts w:ascii="Times New Roman" w:eastAsia="Times New Roman" w:hAnsi="Times New Roman" w:cs="Times New Roman"/>
          <w:i/>
          <w:iCs/>
          <w:sz w:val="24"/>
          <w:szCs w:val="24"/>
        </w:rPr>
        <w:t>Krajsa v. Keypunch, Inc</w:t>
      </w:r>
      <w:r w:rsidRPr="00DD75D7">
        <w:rPr>
          <w:rFonts w:ascii="Times New Roman" w:eastAsia="Times New Roman" w:hAnsi="Times New Roman" w:cs="Times New Roman"/>
          <w:sz w:val="24"/>
          <w:szCs w:val="24"/>
        </w:rPr>
        <w:t xml:space="preserve">., 424 Pa. Super. 230, 622 A.2d 355, 358 (1993); </w:t>
      </w:r>
      <w:r w:rsidRPr="00DD75D7">
        <w:rPr>
          <w:rFonts w:ascii="Times New Roman" w:eastAsia="Times New Roman" w:hAnsi="Times New Roman" w:cs="Times New Roman"/>
          <w:i/>
          <w:iCs/>
          <w:sz w:val="24"/>
          <w:szCs w:val="24"/>
        </w:rPr>
        <w:t>see also, Smith v. Calgon Carbon Corp</w:t>
      </w:r>
      <w:r w:rsidRPr="00DD75D7">
        <w:rPr>
          <w:rFonts w:ascii="Times New Roman" w:eastAsia="Times New Roman" w:hAnsi="Times New Roman" w:cs="Times New Roman"/>
          <w:sz w:val="24"/>
          <w:szCs w:val="24"/>
        </w:rPr>
        <w:t xml:space="preserve">., 917 F.2d 1338, 1344 (3d Cir. 1990), </w:t>
      </w:r>
      <w:r w:rsidRPr="00DD75D7">
        <w:rPr>
          <w:rFonts w:ascii="Times New Roman" w:eastAsia="Times New Roman" w:hAnsi="Times New Roman" w:cs="Times New Roman"/>
          <w:i/>
          <w:iCs/>
          <w:sz w:val="24"/>
          <w:szCs w:val="24"/>
        </w:rPr>
        <w:t>cert. denied</w:t>
      </w:r>
      <w:r w:rsidRPr="00DD75D7">
        <w:rPr>
          <w:rFonts w:ascii="Times New Roman" w:eastAsia="Times New Roman" w:hAnsi="Times New Roman" w:cs="Times New Roman"/>
          <w:sz w:val="24"/>
          <w:szCs w:val="24"/>
        </w:rPr>
        <w:t xml:space="preserve">, 499 U.S. 966, 113 L. Ed. 2d 660, 111 S. Ct. 1597 (1991) ("[A] 'clear mandate of public policy' [is] embodied in a constitutionally or legislatively established prohibition, requirement, or privilege."). </w:t>
      </w:r>
      <w:r w:rsidRPr="00DD75D7">
        <w:rPr>
          <w:rFonts w:ascii="Times New Roman" w:eastAsia="Times New Roman" w:hAnsi="Times New Roman" w:cs="Times New Roman"/>
          <w:i/>
          <w:iCs/>
          <w:sz w:val="24"/>
          <w:szCs w:val="24"/>
        </w:rPr>
        <w:t>Whitney v. Xerox</w:t>
      </w:r>
      <w:r w:rsidRPr="00DD75D7">
        <w:rPr>
          <w:rFonts w:ascii="Times New Roman" w:eastAsia="Times New Roman" w:hAnsi="Times New Roman" w:cs="Times New Roman"/>
          <w:sz w:val="24"/>
          <w:szCs w:val="24"/>
        </w:rPr>
        <w:t>, C.A.No. 94-3852, 1994 U.S. Dist. LEXIS 10845, 1994 WL 412429 (E.D.Pa. August 2, 1994) slip op. at 3-4.</w:t>
      </w:r>
    </w:p>
    <w:p w:rsidR="00DD75D7" w:rsidRPr="00DD75D7" w:rsidRDefault="00DD75D7" w:rsidP="00DD75D7">
      <w:pPr>
        <w:spacing w:before="100" w:beforeAutospacing="1" w:after="100" w:afterAutospacing="1" w:line="240" w:lineRule="auto"/>
        <w:rPr>
          <w:rFonts w:ascii="Times New Roman" w:eastAsia="Times New Roman" w:hAnsi="Times New Roman" w:cs="Times New Roman"/>
          <w:sz w:val="24"/>
          <w:szCs w:val="24"/>
        </w:rPr>
      </w:pPr>
      <w:r w:rsidRPr="00DD75D7">
        <w:rPr>
          <w:rFonts w:ascii="Times New Roman" w:eastAsia="Times New Roman" w:hAnsi="Times New Roman" w:cs="Times New Roman"/>
          <w:sz w:val="24"/>
          <w:szCs w:val="24"/>
        </w:rPr>
        <w:t xml:space="preserve">Plaintiff claims that his termination was in violation of "public policy which precludes an employer from terminating an employee in violation of the employee's right to privacy as embodied in Pennsylvania common law." Complaint at P 15. </w:t>
      </w:r>
      <w:hyperlink r:id="rId6" w:anchor="fn2" w:history="1">
        <w:r w:rsidRPr="00DD75D7">
          <w:rPr>
            <w:rFonts w:ascii="Times New Roman" w:eastAsia="Times New Roman" w:hAnsi="Times New Roman" w:cs="Times New Roman"/>
            <w:color w:val="0000FF"/>
            <w:sz w:val="24"/>
            <w:szCs w:val="24"/>
            <w:u w:val="single"/>
          </w:rPr>
          <w:t>[FN2]</w:t>
        </w:r>
      </w:hyperlink>
      <w:r w:rsidRPr="00DD75D7">
        <w:rPr>
          <w:rFonts w:ascii="Times New Roman" w:eastAsia="Times New Roman" w:hAnsi="Times New Roman" w:cs="Times New Roman"/>
          <w:sz w:val="24"/>
          <w:szCs w:val="24"/>
        </w:rPr>
        <w:t xml:space="preserve"> In support for this proposition, plaintiff directs our attention to a decision by our Court of Appeals in </w:t>
      </w:r>
      <w:r w:rsidRPr="00DD75D7">
        <w:rPr>
          <w:rFonts w:ascii="Times New Roman" w:eastAsia="Times New Roman" w:hAnsi="Times New Roman" w:cs="Times New Roman"/>
          <w:i/>
          <w:iCs/>
          <w:sz w:val="24"/>
          <w:szCs w:val="24"/>
        </w:rPr>
        <w:t>Borse v. Piece Goods Shop, Inc</w:t>
      </w:r>
      <w:r w:rsidRPr="00DD75D7">
        <w:rPr>
          <w:rFonts w:ascii="Times New Roman" w:eastAsia="Times New Roman" w:hAnsi="Times New Roman" w:cs="Times New Roman"/>
          <w:sz w:val="24"/>
          <w:szCs w:val="24"/>
        </w:rPr>
        <w:t xml:space="preserve">., 963 F.2d 611 (3d Cir. 1992). In </w:t>
      </w:r>
      <w:r w:rsidRPr="00DD75D7">
        <w:rPr>
          <w:rFonts w:ascii="Times New Roman" w:eastAsia="Times New Roman" w:hAnsi="Times New Roman" w:cs="Times New Roman"/>
          <w:i/>
          <w:iCs/>
          <w:sz w:val="24"/>
          <w:szCs w:val="24"/>
        </w:rPr>
        <w:t>Borse</w:t>
      </w:r>
      <w:r w:rsidRPr="00DD75D7">
        <w:rPr>
          <w:rFonts w:ascii="Times New Roman" w:eastAsia="Times New Roman" w:hAnsi="Times New Roman" w:cs="Times New Roman"/>
          <w:sz w:val="24"/>
          <w:szCs w:val="24"/>
        </w:rPr>
        <w:t xml:space="preserve">, the plaintiff sued her employer alleging wrongful discharge as a result of her refusal to submit to urinalysis screening and personal property searches at her work place pursuant to the employer's drug and alcohol policy. After rejecting plaintiff's argument that the employer's drug and alcohol program violated public policy encompassed in the United States and Pennsylvania Constitutions, our Court of Appeals stated "our review of Pennsylvania law reveals other evidence of a public policy that may, under certain circumstances, give rise to a wrongful discharge action related to urinalysis or to personal property searches. Specifically, we refer to the Pennsylvania common law regarding tortious invasion of privacy." </w:t>
      </w:r>
      <w:r w:rsidRPr="00DD75D7">
        <w:rPr>
          <w:rFonts w:ascii="Times New Roman" w:eastAsia="Times New Roman" w:hAnsi="Times New Roman" w:cs="Times New Roman"/>
          <w:i/>
          <w:iCs/>
          <w:sz w:val="24"/>
          <w:szCs w:val="24"/>
        </w:rPr>
        <w:t>Id</w:t>
      </w:r>
      <w:r w:rsidRPr="00DD75D7">
        <w:rPr>
          <w:rFonts w:ascii="Times New Roman" w:eastAsia="Times New Roman" w:hAnsi="Times New Roman" w:cs="Times New Roman"/>
          <w:sz w:val="24"/>
          <w:szCs w:val="24"/>
        </w:rPr>
        <w:t>. at 620.</w:t>
      </w:r>
    </w:p>
    <w:p w:rsidR="00DD75D7" w:rsidRPr="00DD75D7" w:rsidRDefault="00DD75D7" w:rsidP="00DD75D7">
      <w:pPr>
        <w:spacing w:before="100" w:beforeAutospacing="1" w:after="100" w:afterAutospacing="1" w:line="240" w:lineRule="auto"/>
        <w:rPr>
          <w:rFonts w:ascii="Times New Roman" w:eastAsia="Times New Roman" w:hAnsi="Times New Roman" w:cs="Times New Roman"/>
          <w:sz w:val="24"/>
          <w:szCs w:val="24"/>
        </w:rPr>
      </w:pPr>
      <w:r w:rsidRPr="00DD75D7">
        <w:rPr>
          <w:rFonts w:ascii="Times New Roman" w:eastAsia="Times New Roman" w:hAnsi="Times New Roman" w:cs="Times New Roman"/>
          <w:sz w:val="24"/>
          <w:szCs w:val="24"/>
        </w:rPr>
        <w:t xml:space="preserve">The Court of Appeals in </w:t>
      </w:r>
      <w:r w:rsidRPr="00DD75D7">
        <w:rPr>
          <w:rFonts w:ascii="Times New Roman" w:eastAsia="Times New Roman" w:hAnsi="Times New Roman" w:cs="Times New Roman"/>
          <w:i/>
          <w:iCs/>
          <w:sz w:val="24"/>
          <w:szCs w:val="24"/>
        </w:rPr>
        <w:t>Borse</w:t>
      </w:r>
      <w:r w:rsidRPr="00DD75D7">
        <w:rPr>
          <w:rFonts w:ascii="Times New Roman" w:eastAsia="Times New Roman" w:hAnsi="Times New Roman" w:cs="Times New Roman"/>
          <w:sz w:val="24"/>
          <w:szCs w:val="24"/>
        </w:rPr>
        <w:t xml:space="preserve">, observed that one of the torts which Pennsylvania recognizes as encompassing an action for invasion of privacy is the tort of "intrusion upon seclusion." As noted by the Court of Appeals, the Restatement (Second) of Torts defines the tort as follows: </w:t>
      </w:r>
    </w:p>
    <w:p w:rsidR="00DD75D7" w:rsidRPr="00DD75D7" w:rsidRDefault="00DD75D7" w:rsidP="00DD75D7">
      <w:pPr>
        <w:spacing w:after="100" w:line="240" w:lineRule="auto"/>
        <w:rPr>
          <w:rFonts w:ascii="Times New Roman" w:eastAsia="Times New Roman" w:hAnsi="Times New Roman" w:cs="Times New Roman"/>
          <w:sz w:val="24"/>
          <w:szCs w:val="24"/>
        </w:rPr>
      </w:pPr>
      <w:r w:rsidRPr="00DD75D7">
        <w:rPr>
          <w:rFonts w:ascii="Times New Roman" w:eastAsia="Times New Roman" w:hAnsi="Times New Roman" w:cs="Times New Roman"/>
          <w:sz w:val="24"/>
          <w:szCs w:val="24"/>
        </w:rPr>
        <w:t>One who intentionally intrudes, physically or otherwise, upon the solitude or seclusion of another or his private affairs or concerns, is subject to liability to the other for invasion of his privacy, if the intrusion would be highly offensive to a reasonable person.</w:t>
      </w:r>
    </w:p>
    <w:p w:rsidR="00DD75D7" w:rsidRPr="00DD75D7" w:rsidRDefault="00DD75D7" w:rsidP="00DD75D7">
      <w:pPr>
        <w:spacing w:after="0" w:line="240" w:lineRule="auto"/>
        <w:rPr>
          <w:rFonts w:ascii="Times New Roman" w:eastAsia="Times New Roman" w:hAnsi="Times New Roman" w:cs="Times New Roman"/>
          <w:sz w:val="24"/>
          <w:szCs w:val="24"/>
        </w:rPr>
      </w:pPr>
      <w:r w:rsidRPr="00DD75D7">
        <w:rPr>
          <w:rFonts w:ascii="Times New Roman" w:eastAsia="Times New Roman" w:hAnsi="Times New Roman" w:cs="Times New Roman"/>
          <w:sz w:val="24"/>
          <w:szCs w:val="24"/>
        </w:rPr>
        <w:t>Restatement (Second) of Torts @ 652B.</w:t>
      </w:r>
    </w:p>
    <w:p w:rsidR="00DD75D7" w:rsidRPr="00DD75D7" w:rsidRDefault="00DD75D7" w:rsidP="00DD75D7">
      <w:pPr>
        <w:spacing w:before="100" w:beforeAutospacing="1" w:after="100" w:afterAutospacing="1" w:line="240" w:lineRule="auto"/>
        <w:rPr>
          <w:rFonts w:ascii="Times New Roman" w:eastAsia="Times New Roman" w:hAnsi="Times New Roman" w:cs="Times New Roman"/>
          <w:sz w:val="24"/>
          <w:szCs w:val="24"/>
        </w:rPr>
      </w:pPr>
      <w:r w:rsidRPr="00DD75D7">
        <w:rPr>
          <w:rFonts w:ascii="Times New Roman" w:eastAsia="Times New Roman" w:hAnsi="Times New Roman" w:cs="Times New Roman"/>
          <w:sz w:val="24"/>
          <w:szCs w:val="24"/>
        </w:rPr>
        <w:t xml:space="preserve">Liability only attaches when the "intrusion is substantial and would be highly offensive to the 'ordinary reasonable person.'" </w:t>
      </w:r>
      <w:r w:rsidRPr="00DD75D7">
        <w:rPr>
          <w:rFonts w:ascii="Times New Roman" w:eastAsia="Times New Roman" w:hAnsi="Times New Roman" w:cs="Times New Roman"/>
          <w:i/>
          <w:iCs/>
          <w:sz w:val="24"/>
          <w:szCs w:val="24"/>
        </w:rPr>
        <w:t>Borse</w:t>
      </w:r>
      <w:r w:rsidRPr="00DD75D7">
        <w:rPr>
          <w:rFonts w:ascii="Times New Roman" w:eastAsia="Times New Roman" w:hAnsi="Times New Roman" w:cs="Times New Roman"/>
          <w:sz w:val="24"/>
          <w:szCs w:val="24"/>
        </w:rPr>
        <w:t xml:space="preserve">, 963 F.2d at 621 (citation omitted). Although the Court of </w:t>
      </w:r>
      <w:r w:rsidRPr="00DD75D7">
        <w:rPr>
          <w:rFonts w:ascii="Times New Roman" w:eastAsia="Times New Roman" w:hAnsi="Times New Roman" w:cs="Times New Roman"/>
          <w:sz w:val="24"/>
          <w:szCs w:val="24"/>
        </w:rPr>
        <w:lastRenderedPageBreak/>
        <w:t xml:space="preserve">Appeals in </w:t>
      </w:r>
      <w:r w:rsidRPr="00DD75D7">
        <w:rPr>
          <w:rFonts w:ascii="Times New Roman" w:eastAsia="Times New Roman" w:hAnsi="Times New Roman" w:cs="Times New Roman"/>
          <w:i/>
          <w:iCs/>
          <w:sz w:val="24"/>
          <w:szCs w:val="24"/>
        </w:rPr>
        <w:t>Borse</w:t>
      </w:r>
      <w:r w:rsidRPr="00DD75D7">
        <w:rPr>
          <w:rFonts w:ascii="Times New Roman" w:eastAsia="Times New Roman" w:hAnsi="Times New Roman" w:cs="Times New Roman"/>
          <w:sz w:val="24"/>
          <w:szCs w:val="24"/>
        </w:rPr>
        <w:t xml:space="preserve"> observed that "the Pennsylvania courts have not had occasion to consider whether a discharge related to an employer's tortious invasion of an employee's privacy violates public policy", the Court of Appeals predicted that in any claim where the employee claimed that his discharge related to an invasion of his privacy "the Pennsylvania Supreme Court would examine the facts and circumstances surrounding the alleged invasion of privacy. If the court determined that the discharge was related to a substantial and highly offensive invasion of the employee's privacy, believe that it would conclude that the discharge violated public policy." </w:t>
      </w:r>
      <w:r w:rsidRPr="00DD75D7">
        <w:rPr>
          <w:rFonts w:ascii="Times New Roman" w:eastAsia="Times New Roman" w:hAnsi="Times New Roman" w:cs="Times New Roman"/>
          <w:i/>
          <w:iCs/>
          <w:sz w:val="24"/>
          <w:szCs w:val="24"/>
        </w:rPr>
        <w:t>Id</w:t>
      </w:r>
      <w:r w:rsidRPr="00DD75D7">
        <w:rPr>
          <w:rFonts w:ascii="Times New Roman" w:eastAsia="Times New Roman" w:hAnsi="Times New Roman" w:cs="Times New Roman"/>
          <w:sz w:val="24"/>
          <w:szCs w:val="24"/>
        </w:rPr>
        <w:t xml:space="preserve">. at 622. In determining whether an alleged invasion of privacy is substantial and highly offensive to a reasonable person, the Court of Appeals predicted that Pennsylvania would adopt a balancing test which balances the employee's privacy interest against the employer's interest in maintaining a drug-free workplace. </w:t>
      </w:r>
      <w:r w:rsidRPr="00DD75D7">
        <w:rPr>
          <w:rFonts w:ascii="Times New Roman" w:eastAsia="Times New Roman" w:hAnsi="Times New Roman" w:cs="Times New Roman"/>
          <w:i/>
          <w:iCs/>
          <w:sz w:val="24"/>
          <w:szCs w:val="24"/>
        </w:rPr>
        <w:t>Id</w:t>
      </w:r>
      <w:r w:rsidRPr="00DD75D7">
        <w:rPr>
          <w:rFonts w:ascii="Times New Roman" w:eastAsia="Times New Roman" w:hAnsi="Times New Roman" w:cs="Times New Roman"/>
          <w:sz w:val="24"/>
          <w:szCs w:val="24"/>
        </w:rPr>
        <w:t xml:space="preserve">. at 625. Because the Court of Appeals in </w:t>
      </w:r>
      <w:r w:rsidRPr="00DD75D7">
        <w:rPr>
          <w:rFonts w:ascii="Times New Roman" w:eastAsia="Times New Roman" w:hAnsi="Times New Roman" w:cs="Times New Roman"/>
          <w:i/>
          <w:iCs/>
          <w:sz w:val="24"/>
          <w:szCs w:val="24"/>
        </w:rPr>
        <w:t>Borse</w:t>
      </w:r>
      <w:r w:rsidRPr="00DD75D7">
        <w:rPr>
          <w:rFonts w:ascii="Times New Roman" w:eastAsia="Times New Roman" w:hAnsi="Times New Roman" w:cs="Times New Roman"/>
          <w:sz w:val="24"/>
          <w:szCs w:val="24"/>
        </w:rPr>
        <w:t xml:space="preserve"> could "envision at least two ways in which an employer's drug and alcohol program might violate the public policy protecting individuals from tortious invasion of privacy by private actors" </w:t>
      </w:r>
      <w:r w:rsidRPr="00DD75D7">
        <w:rPr>
          <w:rFonts w:ascii="Times New Roman" w:eastAsia="Times New Roman" w:hAnsi="Times New Roman" w:cs="Times New Roman"/>
          <w:i/>
          <w:iCs/>
          <w:sz w:val="24"/>
          <w:szCs w:val="24"/>
        </w:rPr>
        <w:t>id</w:t>
      </w:r>
      <w:r w:rsidRPr="00DD75D7">
        <w:rPr>
          <w:rFonts w:ascii="Times New Roman" w:eastAsia="Times New Roman" w:hAnsi="Times New Roman" w:cs="Times New Roman"/>
          <w:sz w:val="24"/>
          <w:szCs w:val="24"/>
        </w:rPr>
        <w:t>. at 626, the Court vacated the district court's order dismissing the plaintiff's complaint and remanded the case to the district court with directions to grant Borse leave to amend the Compliant to allege how the defendant's drug and alcohol program violates her right to privacy.</w:t>
      </w:r>
    </w:p>
    <w:p w:rsidR="00DD75D7" w:rsidRPr="00DD75D7" w:rsidRDefault="00DD75D7" w:rsidP="00DD75D7">
      <w:pPr>
        <w:spacing w:before="100" w:beforeAutospacing="1" w:after="100" w:afterAutospacing="1" w:line="240" w:lineRule="auto"/>
        <w:rPr>
          <w:rFonts w:ascii="Times New Roman" w:eastAsia="Times New Roman" w:hAnsi="Times New Roman" w:cs="Times New Roman"/>
          <w:sz w:val="24"/>
          <w:szCs w:val="24"/>
        </w:rPr>
      </w:pPr>
      <w:r w:rsidRPr="00DD75D7">
        <w:rPr>
          <w:rFonts w:ascii="Times New Roman" w:eastAsia="Times New Roman" w:hAnsi="Times New Roman" w:cs="Times New Roman"/>
          <w:sz w:val="24"/>
          <w:szCs w:val="24"/>
        </w:rPr>
        <w:t>Applying the Restatement definition of the tort of intrusion upon seclusion to the facts and circumstances of the case sub judice, we find that plaintiff has failed to state a claim upon which relief can be granted. In the first instance, unlike urinalysis and personal property searches, we do not find a reasonable expectation of privacy in e-mail communications voluntarily made by an employee to his supervisor over the company e-mail system notwithstanding any assurances that such communications would not be intercepted by management. Once plaintiff communicated the alleged unprofessional comments to a second person (his supervisor) over an e-mail system which was apparently utilized by the entire company, any reasonable expectation of privacy was lost. Significantly, the defendant did not require plaintiff, as in the case of an urinalysis or personal property search to disclose any personal information about himself. Rather, plaintiff voluntarily communicated the alleged unprofessional comments over the company e-mail system. We find no privacy interests in such communications.</w:t>
      </w:r>
    </w:p>
    <w:p w:rsidR="00DD75D7" w:rsidRPr="00DD75D7" w:rsidRDefault="00DD75D7" w:rsidP="00DD75D7">
      <w:pPr>
        <w:spacing w:before="100" w:beforeAutospacing="1" w:after="100" w:afterAutospacing="1" w:line="240" w:lineRule="auto"/>
        <w:rPr>
          <w:rFonts w:ascii="Times New Roman" w:eastAsia="Times New Roman" w:hAnsi="Times New Roman" w:cs="Times New Roman"/>
          <w:sz w:val="24"/>
          <w:szCs w:val="24"/>
        </w:rPr>
      </w:pPr>
      <w:r w:rsidRPr="00DD75D7">
        <w:rPr>
          <w:rFonts w:ascii="Times New Roman" w:eastAsia="Times New Roman" w:hAnsi="Times New Roman" w:cs="Times New Roman"/>
          <w:sz w:val="24"/>
          <w:szCs w:val="24"/>
        </w:rPr>
        <w:t>In the second instance, even if we found that an employee had a reasonable expectation of privacy in the contents of his e-mail communications over the company e-mail system, we do not find that a reasonable person would consider the defendant's interception of these communications to be a substantial and highly offensive invasion of his privacy. Again, we note that by intercepting such communications, the company is not, as in the case of urinalysis or personal property searches, requiring the employee to disclose any personal information about himself or invading the employee's person or personal effects. Moreover, the company's interest in preventing inappropriate and unprofessional comments or even illegal activity over its e-mail system outweighs any privacy interest the employee may have in those comments.</w:t>
      </w:r>
    </w:p>
    <w:p w:rsidR="00DD75D7" w:rsidRPr="00DD75D7" w:rsidRDefault="00DD75D7" w:rsidP="00DD75D7">
      <w:pPr>
        <w:spacing w:before="100" w:beforeAutospacing="1" w:after="100" w:afterAutospacing="1" w:line="240" w:lineRule="auto"/>
        <w:rPr>
          <w:rFonts w:ascii="Times New Roman" w:eastAsia="Times New Roman" w:hAnsi="Times New Roman" w:cs="Times New Roman"/>
          <w:sz w:val="24"/>
          <w:szCs w:val="24"/>
        </w:rPr>
      </w:pPr>
      <w:r w:rsidRPr="00DD75D7">
        <w:rPr>
          <w:rFonts w:ascii="Times New Roman" w:eastAsia="Times New Roman" w:hAnsi="Times New Roman" w:cs="Times New Roman"/>
          <w:sz w:val="24"/>
          <w:szCs w:val="24"/>
        </w:rPr>
        <w:t>In sum, we find that the defendant's actions did not tortiously invade the plaintiff's privacy and, therefore, did not violate public policy. As a result, the motion to dismiss is granted.</w:t>
      </w:r>
    </w:p>
    <w:p w:rsidR="00DD75D7" w:rsidRPr="00DD75D7" w:rsidRDefault="00DD75D7" w:rsidP="00DD75D7">
      <w:pPr>
        <w:spacing w:before="100" w:beforeAutospacing="1" w:after="100" w:afterAutospacing="1" w:line="240" w:lineRule="auto"/>
        <w:rPr>
          <w:rFonts w:ascii="Times New Roman" w:eastAsia="Times New Roman" w:hAnsi="Times New Roman" w:cs="Times New Roman"/>
          <w:sz w:val="24"/>
          <w:szCs w:val="24"/>
        </w:rPr>
      </w:pPr>
      <w:r w:rsidRPr="00DD75D7">
        <w:rPr>
          <w:rFonts w:ascii="Times New Roman" w:eastAsia="Times New Roman" w:hAnsi="Times New Roman" w:cs="Times New Roman"/>
          <w:sz w:val="24"/>
          <w:szCs w:val="24"/>
        </w:rPr>
        <w:t>ORDER</w:t>
      </w:r>
    </w:p>
    <w:p w:rsidR="00DD75D7" w:rsidRPr="00DD75D7" w:rsidRDefault="00DD75D7" w:rsidP="00DD75D7">
      <w:pPr>
        <w:spacing w:before="100" w:beforeAutospacing="1" w:after="100" w:afterAutospacing="1" w:line="240" w:lineRule="auto"/>
        <w:rPr>
          <w:rFonts w:ascii="Times New Roman" w:eastAsia="Times New Roman" w:hAnsi="Times New Roman" w:cs="Times New Roman"/>
          <w:sz w:val="24"/>
          <w:szCs w:val="24"/>
        </w:rPr>
      </w:pPr>
      <w:r w:rsidRPr="00DD75D7">
        <w:rPr>
          <w:rFonts w:ascii="Times New Roman" w:eastAsia="Times New Roman" w:hAnsi="Times New Roman" w:cs="Times New Roman"/>
          <w:sz w:val="24"/>
          <w:szCs w:val="24"/>
        </w:rPr>
        <w:t>The motion of the defendant to dismiss is GRANTED.</w:t>
      </w:r>
    </w:p>
    <w:p w:rsidR="00DD75D7" w:rsidRPr="00DD75D7" w:rsidRDefault="00DD75D7" w:rsidP="00DD75D7">
      <w:pPr>
        <w:spacing w:before="100" w:beforeAutospacing="1" w:after="100" w:afterAutospacing="1" w:line="240" w:lineRule="auto"/>
        <w:rPr>
          <w:rFonts w:ascii="Times New Roman" w:eastAsia="Times New Roman" w:hAnsi="Times New Roman" w:cs="Times New Roman"/>
          <w:sz w:val="24"/>
          <w:szCs w:val="24"/>
        </w:rPr>
      </w:pPr>
      <w:r w:rsidRPr="00DD75D7">
        <w:rPr>
          <w:rFonts w:ascii="Times New Roman" w:eastAsia="Times New Roman" w:hAnsi="Times New Roman" w:cs="Times New Roman"/>
          <w:sz w:val="24"/>
          <w:szCs w:val="24"/>
        </w:rPr>
        <w:lastRenderedPageBreak/>
        <w:t>The Complaint is DISMISSED WITH PREJUDICE.</w:t>
      </w:r>
    </w:p>
    <w:p w:rsidR="00DD75D7" w:rsidRPr="00DD75D7" w:rsidRDefault="00DD75D7" w:rsidP="00DD75D7">
      <w:pPr>
        <w:spacing w:before="100" w:beforeAutospacing="1" w:after="100" w:afterAutospacing="1" w:line="240" w:lineRule="auto"/>
        <w:rPr>
          <w:rFonts w:ascii="Times New Roman" w:eastAsia="Times New Roman" w:hAnsi="Times New Roman" w:cs="Times New Roman"/>
          <w:sz w:val="24"/>
          <w:szCs w:val="24"/>
        </w:rPr>
      </w:pPr>
      <w:r w:rsidRPr="00DD75D7">
        <w:rPr>
          <w:rFonts w:ascii="Times New Roman" w:eastAsia="Times New Roman" w:hAnsi="Times New Roman" w:cs="Times New Roman"/>
          <w:sz w:val="24"/>
          <w:szCs w:val="24"/>
        </w:rPr>
        <w:t>IT IS SO ORDERED.</w:t>
      </w:r>
    </w:p>
    <w:p w:rsidR="00DD75D7" w:rsidRPr="00DD75D7" w:rsidRDefault="00DD75D7" w:rsidP="00DD75D7">
      <w:pPr>
        <w:spacing w:before="100" w:beforeAutospacing="1" w:after="100" w:afterAutospacing="1" w:line="240" w:lineRule="auto"/>
        <w:rPr>
          <w:rFonts w:ascii="Times New Roman" w:eastAsia="Times New Roman" w:hAnsi="Times New Roman" w:cs="Times New Roman"/>
          <w:sz w:val="24"/>
          <w:szCs w:val="24"/>
        </w:rPr>
      </w:pPr>
      <w:r w:rsidRPr="00DD75D7">
        <w:rPr>
          <w:rFonts w:ascii="Times New Roman" w:eastAsia="Times New Roman" w:hAnsi="Times New Roman" w:cs="Times New Roman"/>
          <w:sz w:val="24"/>
          <w:szCs w:val="24"/>
        </w:rPr>
        <w:t>CHARLES R. WEINER</w:t>
      </w:r>
    </w:p>
    <w:p w:rsidR="00DD75D7" w:rsidRPr="00DD75D7" w:rsidRDefault="00DD75D7" w:rsidP="00DD75D7">
      <w:pPr>
        <w:spacing w:before="100" w:beforeAutospacing="1" w:after="100" w:afterAutospacing="1" w:line="240" w:lineRule="auto"/>
        <w:rPr>
          <w:rFonts w:ascii="Times New Roman" w:eastAsia="Times New Roman" w:hAnsi="Times New Roman" w:cs="Times New Roman"/>
          <w:sz w:val="24"/>
          <w:szCs w:val="24"/>
        </w:rPr>
      </w:pPr>
      <w:r w:rsidRPr="00DD75D7">
        <w:rPr>
          <w:rFonts w:ascii="Times New Roman" w:eastAsia="Times New Roman" w:hAnsi="Times New Roman" w:cs="Times New Roman"/>
          <w:sz w:val="24"/>
          <w:szCs w:val="24"/>
        </w:rPr>
        <w:t>FOOTNOTES</w:t>
      </w:r>
    </w:p>
    <w:p w:rsidR="00DD75D7" w:rsidRPr="00DD75D7" w:rsidRDefault="00DD75D7" w:rsidP="00DD75D7">
      <w:pPr>
        <w:spacing w:before="100" w:beforeAutospacing="1" w:after="100" w:afterAutospacing="1" w:line="240" w:lineRule="auto"/>
        <w:rPr>
          <w:rFonts w:ascii="Times New Roman" w:eastAsia="Times New Roman" w:hAnsi="Times New Roman" w:cs="Times New Roman"/>
          <w:sz w:val="24"/>
          <w:szCs w:val="24"/>
        </w:rPr>
      </w:pPr>
      <w:bookmarkStart w:id="0" w:name="fn1"/>
      <w:r w:rsidRPr="00DD75D7">
        <w:rPr>
          <w:rFonts w:ascii="Times New Roman" w:eastAsia="Times New Roman" w:hAnsi="Times New Roman" w:cs="Times New Roman"/>
          <w:sz w:val="24"/>
          <w:szCs w:val="24"/>
        </w:rPr>
        <w:t>FN1</w:t>
      </w:r>
      <w:bookmarkEnd w:id="0"/>
      <w:r w:rsidRPr="00DD75D7">
        <w:rPr>
          <w:rFonts w:ascii="Times New Roman" w:eastAsia="Times New Roman" w:hAnsi="Times New Roman" w:cs="Times New Roman"/>
          <w:sz w:val="24"/>
          <w:szCs w:val="24"/>
        </w:rPr>
        <w:t>. Defendant alleges in its motion to dismiss that the e-mails concerned sales management and contained threats to "kill the backstabbing bastards" and referred to the planned Holiday party as the " Jim Jones Koolaid affair."</w:t>
      </w:r>
    </w:p>
    <w:p w:rsidR="00DD75D7" w:rsidRPr="00DD75D7" w:rsidRDefault="00DD75D7" w:rsidP="00DD75D7">
      <w:pPr>
        <w:spacing w:before="100" w:beforeAutospacing="1" w:after="100" w:afterAutospacing="1" w:line="240" w:lineRule="auto"/>
        <w:rPr>
          <w:rFonts w:ascii="Times New Roman" w:eastAsia="Times New Roman" w:hAnsi="Times New Roman" w:cs="Times New Roman"/>
          <w:sz w:val="24"/>
          <w:szCs w:val="24"/>
        </w:rPr>
      </w:pPr>
      <w:bookmarkStart w:id="1" w:name="fn2"/>
      <w:r w:rsidRPr="00DD75D7">
        <w:rPr>
          <w:rFonts w:ascii="Times New Roman" w:eastAsia="Times New Roman" w:hAnsi="Times New Roman" w:cs="Times New Roman"/>
          <w:sz w:val="24"/>
          <w:szCs w:val="24"/>
        </w:rPr>
        <w:t>FN2</w:t>
      </w:r>
      <w:bookmarkEnd w:id="1"/>
      <w:r w:rsidRPr="00DD75D7">
        <w:rPr>
          <w:rFonts w:ascii="Times New Roman" w:eastAsia="Times New Roman" w:hAnsi="Times New Roman" w:cs="Times New Roman"/>
          <w:sz w:val="24"/>
          <w:szCs w:val="24"/>
        </w:rPr>
        <w:t xml:space="preserve">. Although plaintiff does not affirmatively allege so in his Complaint or in his memorandum of law in opposition to defendant's motion to dismiss, the allegations in the Complaint might suggest that plaintiff is alleging an exception to the at-will employment rule based on estoppel, </w:t>
      </w:r>
      <w:r w:rsidRPr="00DD75D7">
        <w:rPr>
          <w:rFonts w:ascii="Times New Roman" w:eastAsia="Times New Roman" w:hAnsi="Times New Roman" w:cs="Times New Roman"/>
          <w:i/>
          <w:iCs/>
          <w:sz w:val="24"/>
          <w:szCs w:val="24"/>
        </w:rPr>
        <w:t>i.e</w:t>
      </w:r>
      <w:r w:rsidRPr="00DD75D7">
        <w:rPr>
          <w:rFonts w:ascii="Times New Roman" w:eastAsia="Times New Roman" w:hAnsi="Times New Roman" w:cs="Times New Roman"/>
          <w:sz w:val="24"/>
          <w:szCs w:val="24"/>
        </w:rPr>
        <w:t xml:space="preserve">. that defendant repeatedly assured plaintiff and others that it would not intercept e-mail communications and reprimand or terminate based on the contents thereof and plaintiff relied on these assurances to his detriment when he made the "inappropriate and unprofessional" e-mail communications in October 1994. The law of Pennsylvania is clear, however, that an employer may not be estopped from firing an employee based upon a promise, even when reliance is demonstrated. </w:t>
      </w:r>
      <w:r w:rsidRPr="00DD75D7">
        <w:rPr>
          <w:rFonts w:ascii="Times New Roman" w:eastAsia="Times New Roman" w:hAnsi="Times New Roman" w:cs="Times New Roman"/>
          <w:i/>
          <w:iCs/>
          <w:sz w:val="24"/>
          <w:szCs w:val="24"/>
        </w:rPr>
        <w:t>Paul v. Lankenau Hospital</w:t>
      </w:r>
      <w:r w:rsidRPr="00DD75D7">
        <w:rPr>
          <w:rFonts w:ascii="Times New Roman" w:eastAsia="Times New Roman" w:hAnsi="Times New Roman" w:cs="Times New Roman"/>
          <w:sz w:val="24"/>
          <w:szCs w:val="24"/>
        </w:rPr>
        <w:t>, 524 Pa. 90, 569 A.2d 346 (1990).</w:t>
      </w:r>
    </w:p>
    <w:p w:rsidR="00704199" w:rsidRDefault="00704199">
      <w:bookmarkStart w:id="2" w:name="_GoBack"/>
      <w:bookmarkEnd w:id="2"/>
    </w:p>
    <w:sectPr w:rsidR="00704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5D7"/>
    <w:rsid w:val="00704199"/>
    <w:rsid w:val="00DD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151367">
      <w:bodyDiv w:val="1"/>
      <w:marLeft w:val="0"/>
      <w:marRight w:val="0"/>
      <w:marTop w:val="0"/>
      <w:marBottom w:val="0"/>
      <w:divBdr>
        <w:top w:val="none" w:sz="0" w:space="0" w:color="auto"/>
        <w:left w:val="none" w:sz="0" w:space="0" w:color="auto"/>
        <w:bottom w:val="none" w:sz="0" w:space="0" w:color="auto"/>
        <w:right w:val="none" w:sz="0" w:space="0" w:color="auto"/>
      </w:divBdr>
      <w:divsChild>
        <w:div w:id="895776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oundy.com/CASES/Smyth_v_Pillsbury.html" TargetMode="External"/><Relationship Id="rId5" Type="http://schemas.openxmlformats.org/officeDocument/2006/relationships/hyperlink" Target="http://www.loundy.com/CASES/Smyth_v_Pillsbur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2082</Words>
  <Characters>11870</Characters>
  <Application>Microsoft Office Word</Application>
  <DocSecurity>0</DocSecurity>
  <Lines>98</Lines>
  <Paragraphs>27</Paragraphs>
  <ScaleCrop>false</ScaleCrop>
  <Company>Toshiba</Company>
  <LinksUpToDate>false</LinksUpToDate>
  <CharactersWithSpaces>13925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Yengue</dc:creator>
  <cp:lastModifiedBy>Nelson Yengue</cp:lastModifiedBy>
  <cp:revision>1</cp:revision>
  <dcterms:created xsi:type="dcterms:W3CDTF">2011-09-12T21:32:00Z</dcterms:created>
  <dcterms:modified xsi:type="dcterms:W3CDTF">2011-09-12T21:33:00Z</dcterms:modified>
</cp:coreProperties>
</file>