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62" w:rsidRDefault="005A3262" w:rsidP="005A3262">
      <w:pPr>
        <w:pStyle w:val="Title"/>
      </w:pPr>
      <w:r>
        <w:t>HCM3002 Economics of Healthcare</w:t>
      </w:r>
    </w:p>
    <w:p w:rsidR="005A3262" w:rsidRDefault="005A3262" w:rsidP="005A3262">
      <w:pPr>
        <w:rPr>
          <w:rFonts w:ascii="Arial" w:hAnsi="Arial" w:cs="Arial"/>
          <w:b/>
          <w:sz w:val="20"/>
        </w:rPr>
      </w:pPr>
    </w:p>
    <w:p w:rsidR="005A3262" w:rsidRDefault="005A3262" w:rsidP="005A3262">
      <w:pPr>
        <w:rPr>
          <w:rFonts w:ascii="Arial" w:hAnsi="Arial" w:cs="Arial"/>
          <w:b/>
          <w:sz w:val="20"/>
        </w:rPr>
      </w:pPr>
      <w:r>
        <w:rPr>
          <w:rFonts w:ascii="Arial" w:hAnsi="Arial" w:cs="Arial"/>
          <w:b/>
          <w:sz w:val="20"/>
        </w:rPr>
        <w:t>Week Two</w:t>
      </w:r>
    </w:p>
    <w:p w:rsidR="005A3262" w:rsidRDefault="005A3262" w:rsidP="005A3262">
      <w:pPr>
        <w:rPr>
          <w:rFonts w:ascii="Arial" w:hAnsi="Arial" w:cs="Arial"/>
          <w:b/>
          <w:sz w:val="20"/>
        </w:rPr>
      </w:pPr>
    </w:p>
    <w:p w:rsidR="008B3AF2" w:rsidRDefault="008B3AF2" w:rsidP="008B3AF2">
      <w:pPr>
        <w:pStyle w:val="Title"/>
      </w:pPr>
      <w:r>
        <w:t>HCM3002 Economics of Healthcare</w:t>
      </w:r>
    </w:p>
    <w:p w:rsidR="008B3AF2" w:rsidRDefault="008B3AF2" w:rsidP="008B3AF2">
      <w:pPr>
        <w:rPr>
          <w:rFonts w:ascii="Arial" w:hAnsi="Arial" w:cs="Arial"/>
          <w:b/>
          <w:sz w:val="20"/>
        </w:rPr>
      </w:pPr>
    </w:p>
    <w:p w:rsidR="008B3AF2" w:rsidRDefault="008B3AF2" w:rsidP="008B3AF2">
      <w:pPr>
        <w:rPr>
          <w:rFonts w:ascii="Arial" w:hAnsi="Arial" w:cs="Arial"/>
          <w:b/>
          <w:sz w:val="20"/>
        </w:rPr>
      </w:pPr>
      <w:r>
        <w:rPr>
          <w:rFonts w:ascii="Arial" w:hAnsi="Arial" w:cs="Arial"/>
          <w:b/>
          <w:sz w:val="20"/>
        </w:rPr>
        <w:t>Week Two</w:t>
      </w:r>
    </w:p>
    <w:p w:rsidR="008B3AF2" w:rsidRDefault="008B3AF2" w:rsidP="008B3AF2">
      <w:pPr>
        <w:rPr>
          <w:rFonts w:ascii="Arial" w:hAnsi="Arial" w:cs="Arial"/>
          <w:b/>
          <w:sz w:val="20"/>
        </w:rPr>
      </w:pPr>
    </w:p>
    <w:p w:rsidR="008B3AF2" w:rsidRDefault="008B3AF2" w:rsidP="008B3AF2">
      <w:pPr>
        <w:rPr>
          <w:rFonts w:ascii="Arial" w:hAnsi="Arial" w:cs="Arial"/>
          <w:b/>
          <w:sz w:val="20"/>
        </w:rPr>
      </w:pPr>
      <w:r>
        <w:rPr>
          <w:rFonts w:ascii="Arial" w:hAnsi="Arial" w:cs="Arial"/>
          <w:b/>
          <w:sz w:val="20"/>
        </w:rPr>
        <w:t>Assignment 4: Economic Principles and NHE</w:t>
      </w:r>
    </w:p>
    <w:p w:rsidR="008B3AF2" w:rsidRDefault="008B3AF2" w:rsidP="008B3AF2">
      <w:pPr>
        <w:rPr>
          <w:rFonts w:ascii="Arial" w:hAnsi="Arial" w:cs="Arial"/>
          <w:sz w:val="20"/>
        </w:rPr>
      </w:pPr>
    </w:p>
    <w:tbl>
      <w:tblPr>
        <w:tblW w:w="9220" w:type="dxa"/>
        <w:tblCellMar>
          <w:left w:w="0" w:type="dxa"/>
          <w:right w:w="0" w:type="dxa"/>
        </w:tblCellMar>
        <w:tblLook w:val="0000"/>
      </w:tblPr>
      <w:tblGrid>
        <w:gridCol w:w="664"/>
        <w:gridCol w:w="977"/>
        <w:gridCol w:w="1123"/>
        <w:gridCol w:w="742"/>
        <w:gridCol w:w="1422"/>
        <w:gridCol w:w="1313"/>
        <w:gridCol w:w="742"/>
        <w:gridCol w:w="1100"/>
        <w:gridCol w:w="1138"/>
      </w:tblGrid>
      <w:tr w:rsidR="008B3AF2" w:rsidTr="00D32AFF">
        <w:trPr>
          <w:trHeight w:val="255"/>
        </w:trPr>
        <w:tc>
          <w:tcPr>
            <w:tcW w:w="9220" w:type="dxa"/>
            <w:gridSpan w:val="9"/>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b/>
                <w:bCs/>
                <w:sz w:val="20"/>
                <w:szCs w:val="20"/>
              </w:rPr>
            </w:pPr>
            <w:r>
              <w:rPr>
                <w:rFonts w:ascii="Arial" w:hAnsi="Arial" w:cs="Arial"/>
                <w:b/>
                <w:bCs/>
                <w:sz w:val="20"/>
                <w:szCs w:val="20"/>
              </w:rPr>
              <w:t>Table 1: Sources of National Health Expenditures (in billion $)</w:t>
            </w:r>
          </w:p>
        </w:tc>
      </w:tr>
      <w:tr w:rsidR="008B3AF2" w:rsidTr="00D32AFF">
        <w:trPr>
          <w:cantSplit/>
          <w:trHeight w:val="255"/>
        </w:trPr>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Year</w:t>
            </w:r>
          </w:p>
        </w:tc>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Total</w:t>
            </w:r>
          </w:p>
        </w:tc>
        <w:tc>
          <w:tcPr>
            <w:tcW w:w="9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Out-of-Pocket</w:t>
            </w:r>
          </w:p>
        </w:tc>
        <w:tc>
          <w:tcPr>
            <w:tcW w:w="0" w:type="auto"/>
            <w:gridSpan w:val="6"/>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Third-Party Payments</w:t>
            </w:r>
          </w:p>
        </w:tc>
      </w:tr>
      <w:tr w:rsidR="008B3AF2" w:rsidTr="00D32AFF">
        <w:trPr>
          <w:cantSplit/>
          <w:trHeight w:val="255"/>
        </w:trPr>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Total</w:t>
            </w:r>
          </w:p>
        </w:tc>
        <w:tc>
          <w:tcPr>
            <w:tcW w:w="112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Private Health Insurance</w:t>
            </w:r>
          </w:p>
        </w:tc>
        <w:tc>
          <w:tcPr>
            <w:tcW w:w="122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Other Private Funds</w:t>
            </w:r>
          </w:p>
        </w:tc>
        <w:tc>
          <w:tcPr>
            <w:tcW w:w="0" w:type="auto"/>
            <w:gridSpan w:val="3"/>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Public</w:t>
            </w:r>
          </w:p>
        </w:tc>
      </w:tr>
      <w:tr w:rsidR="008B3AF2" w:rsidTr="00D32AFF">
        <w:trPr>
          <w:cantSplit/>
          <w:trHeight w:val="510"/>
        </w:trPr>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8B3AF2" w:rsidRDefault="008B3AF2" w:rsidP="00D32AFF">
            <w:pPr>
              <w:rPr>
                <w:rFonts w:ascii="Arial" w:hAnsi="Arial" w:cs="Arial"/>
                <w:sz w:val="20"/>
                <w:szCs w:val="20"/>
              </w:rPr>
            </w:pP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Federal*</w:t>
            </w:r>
          </w:p>
        </w:tc>
        <w:tc>
          <w:tcPr>
            <w:tcW w:w="960" w:type="dxa"/>
            <w:tcBorders>
              <w:top w:val="nil"/>
              <w:left w:val="nil"/>
              <w:bottom w:val="single" w:sz="4" w:space="0" w:color="auto"/>
              <w:right w:val="single" w:sz="4" w:space="0" w:color="auto"/>
            </w:tcBorders>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State and Local**</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$13.1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$3.7</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73.2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24.9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20.7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16.3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27.7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17.8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9.9</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1980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247.3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82.3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104.8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72.0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32.8</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699.4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145.0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271.2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239.6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283.7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195.2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88.5</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987.0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149.2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379.6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322.3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57.3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458.2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323.9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134.3</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1,146.1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176.1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447.1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376.8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522.9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369.3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153.6</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1,210.7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186.5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475.6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401.2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74.4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548.6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384.7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163.9</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2003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1,614.2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230.5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662.1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600.6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721.6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488.7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232.9</w:t>
            </w:r>
          </w:p>
        </w:tc>
      </w:tr>
      <w:tr w:rsidR="008B3AF2" w:rsidTr="00D32AFF">
        <w:trPr>
          <w:hidden/>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vanish/>
                <w:sz w:val="20"/>
              </w:rPr>
            </w:pPr>
            <w:r>
              <w:rPr>
                <w:rFonts w:ascii="Arial" w:hAnsi="Arial" w:cs="Arial"/>
                <w:vanish/>
                <w:sz w:val="20"/>
                <w:szCs w:val="20"/>
              </w:rPr>
              <w:t> </w:t>
            </w:r>
          </w:p>
        </w:tc>
      </w:tr>
      <w:tr w:rsidR="008B3AF2" w:rsidTr="00D32AFF">
        <w:trPr>
          <w:trHeight w:val="495"/>
        </w:trPr>
        <w:tc>
          <w:tcPr>
            <w:tcW w:w="9220"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8B3AF2" w:rsidRDefault="008B3AF2" w:rsidP="00D32AFF">
            <w:pPr>
              <w:rPr>
                <w:rFonts w:ascii="Arial" w:hAnsi="Arial" w:cs="Arial"/>
                <w:sz w:val="20"/>
                <w:szCs w:val="20"/>
              </w:rPr>
            </w:pPr>
            <w:r>
              <w:rPr>
                <w:rFonts w:ascii="Arial" w:hAnsi="Arial" w:cs="Arial"/>
                <w:sz w:val="20"/>
                <w:szCs w:val="20"/>
              </w:rPr>
              <w:t>*  Includes Medicare, Medicaid, Medicaid State Child Health Insurance Program (SCHIP) Expansion, and SCHIP</w:t>
            </w:r>
          </w:p>
        </w:tc>
      </w:tr>
      <w:tr w:rsidR="008B3AF2" w:rsidTr="00D32AFF">
        <w:trPr>
          <w:trHeight w:val="255"/>
        </w:trPr>
        <w:tc>
          <w:tcPr>
            <w:tcW w:w="9220"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8B3AF2" w:rsidRDefault="008B3AF2" w:rsidP="00D32AFF">
            <w:pPr>
              <w:rPr>
                <w:rFonts w:ascii="Arial" w:hAnsi="Arial" w:cs="Arial"/>
                <w:sz w:val="20"/>
                <w:szCs w:val="20"/>
              </w:rPr>
            </w:pPr>
            <w:r>
              <w:rPr>
                <w:rFonts w:ascii="Arial" w:hAnsi="Arial" w:cs="Arial"/>
                <w:sz w:val="20"/>
                <w:szCs w:val="20"/>
              </w:rPr>
              <w:t>**  Includes Medicaid, Medicaid State Child Health Insurance Program (SCHIP) Expansion, and SCHIP</w:t>
            </w:r>
          </w:p>
        </w:tc>
      </w:tr>
    </w:tbl>
    <w:p w:rsidR="008B3AF2" w:rsidRDefault="008B3AF2" w:rsidP="008B3AF2">
      <w:pPr>
        <w:rPr>
          <w:rFonts w:ascii="Arial" w:hAnsi="Arial" w:cs="Arial"/>
          <w:sz w:val="20"/>
        </w:rPr>
      </w:pPr>
    </w:p>
    <w:tbl>
      <w:tblPr>
        <w:tblW w:w="6180" w:type="dxa"/>
        <w:tblCellMar>
          <w:left w:w="0" w:type="dxa"/>
          <w:right w:w="0" w:type="dxa"/>
        </w:tblCellMar>
        <w:tblLook w:val="0000"/>
      </w:tblPr>
      <w:tblGrid>
        <w:gridCol w:w="617"/>
        <w:gridCol w:w="690"/>
        <w:gridCol w:w="1023"/>
        <w:gridCol w:w="1007"/>
        <w:gridCol w:w="1385"/>
        <w:gridCol w:w="1458"/>
      </w:tblGrid>
      <w:tr w:rsidR="008B3AF2" w:rsidTr="00D32AFF">
        <w:trPr>
          <w:trHeight w:val="255"/>
        </w:trPr>
        <w:tc>
          <w:tcPr>
            <w:tcW w:w="6180" w:type="dxa"/>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b/>
                <w:bCs/>
                <w:sz w:val="20"/>
                <w:szCs w:val="20"/>
              </w:rPr>
            </w:pPr>
            <w:r>
              <w:rPr>
                <w:rFonts w:ascii="Arial" w:hAnsi="Arial" w:cs="Arial"/>
                <w:b/>
                <w:bCs/>
                <w:sz w:val="20"/>
                <w:szCs w:val="20"/>
              </w:rPr>
              <w:t>Table 2: Public Program Payments (in billion $)</w:t>
            </w:r>
          </w:p>
        </w:tc>
      </w:tr>
      <w:tr w:rsidR="008B3AF2" w:rsidTr="00D32AFF">
        <w:trPr>
          <w:trHeight w:val="510"/>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Year</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Federal*</w:t>
            </w:r>
          </w:p>
        </w:tc>
        <w:tc>
          <w:tcPr>
            <w:tcW w:w="960" w:type="dxa"/>
            <w:tcBorders>
              <w:top w:val="nil"/>
              <w:left w:val="nil"/>
              <w:bottom w:val="single" w:sz="4" w:space="0" w:color="auto"/>
              <w:right w:val="single" w:sz="4" w:space="0" w:color="auto"/>
            </w:tcBorders>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State and Local*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Medicare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Medicaid ***</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1980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$55.2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$10.6</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1988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111.7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84.2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27.6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20.7</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183.7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146.9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36.8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90.1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48.5</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206.6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166.4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40.2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107.2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54.5</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217.0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176.4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40.6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116.0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56.9</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223.7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182.2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122.5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58.1</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226.2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181.5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44.7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61.0</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1999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232.6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186.0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46.7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66.3</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242.8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194.2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48.6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126.9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69.9</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2001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262.6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211.6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51.1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137.2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74.9</w:t>
            </w:r>
          </w:p>
        </w:tc>
      </w:tr>
      <w:tr w:rsidR="008B3AF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center"/>
              <w:rPr>
                <w:rFonts w:ascii="Arial" w:hAnsi="Arial" w:cs="Arial"/>
                <w:sz w:val="20"/>
                <w:szCs w:val="20"/>
              </w:rPr>
            </w:pPr>
            <w:r>
              <w:rPr>
                <w:rFonts w:ascii="Arial" w:hAnsi="Arial" w:cs="Arial"/>
                <w:sz w:val="20"/>
                <w:szCs w:val="20"/>
              </w:rPr>
              <w:t>2002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286.4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229.9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56.5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149.2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jc w:val="right"/>
              <w:rPr>
                <w:rFonts w:ascii="Arial" w:hAnsi="Arial" w:cs="Arial"/>
                <w:sz w:val="20"/>
                <w:szCs w:val="20"/>
              </w:rPr>
            </w:pPr>
            <w:r>
              <w:rPr>
                <w:rFonts w:ascii="Arial" w:hAnsi="Arial" w:cs="Arial"/>
                <w:sz w:val="20"/>
                <w:szCs w:val="20"/>
              </w:rPr>
              <w:t>83.1</w:t>
            </w:r>
          </w:p>
        </w:tc>
      </w:tr>
      <w:tr w:rsidR="008B3AF2" w:rsidTr="00D32AFF">
        <w:trPr>
          <w:trHeight w:val="510"/>
        </w:trPr>
        <w:tc>
          <w:tcPr>
            <w:tcW w:w="6180" w:type="dxa"/>
            <w:gridSpan w:val="6"/>
            <w:tcBorders>
              <w:top w:val="single" w:sz="4" w:space="0" w:color="auto"/>
              <w:left w:val="single" w:sz="4" w:space="0" w:color="auto"/>
              <w:bottom w:val="single" w:sz="4" w:space="0" w:color="auto"/>
              <w:right w:val="single" w:sz="4" w:space="0" w:color="000000"/>
            </w:tcBorders>
            <w:tcMar>
              <w:top w:w="14" w:type="dxa"/>
              <w:left w:w="14" w:type="dxa"/>
              <w:bottom w:w="0" w:type="dxa"/>
              <w:right w:w="14" w:type="dxa"/>
            </w:tcMar>
            <w:vAlign w:val="bottom"/>
          </w:tcPr>
          <w:p w:rsidR="008B3AF2" w:rsidRDefault="008B3AF2" w:rsidP="00D32AFF">
            <w:pPr>
              <w:rPr>
                <w:rFonts w:ascii="Arial" w:hAnsi="Arial" w:cs="Arial"/>
                <w:sz w:val="20"/>
                <w:szCs w:val="20"/>
              </w:rPr>
            </w:pPr>
            <w:r>
              <w:rPr>
                <w:rFonts w:ascii="Arial" w:hAnsi="Arial" w:cs="Arial"/>
                <w:sz w:val="20"/>
                <w:szCs w:val="20"/>
              </w:rPr>
              <w:t>* Includes Medicaid State Child Health Insurance Program Expansion (SCHIP) and SCHIP</w:t>
            </w:r>
          </w:p>
        </w:tc>
      </w:tr>
      <w:tr w:rsidR="008B3AF2" w:rsidTr="00D32AFF">
        <w:trPr>
          <w:trHeight w:val="255"/>
        </w:trPr>
        <w:tc>
          <w:tcPr>
            <w:tcW w:w="0" w:type="auto"/>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sz w:val="20"/>
                <w:szCs w:val="20"/>
              </w:rPr>
            </w:pPr>
            <w:r>
              <w:rPr>
                <w:rFonts w:ascii="Arial" w:hAnsi="Arial" w:cs="Arial"/>
                <w:sz w:val="20"/>
                <w:szCs w:val="20"/>
              </w:rPr>
              <w:t>** Subset of Federal funds</w:t>
            </w:r>
          </w:p>
        </w:tc>
      </w:tr>
      <w:tr w:rsidR="008B3AF2" w:rsidTr="00D32AFF">
        <w:trPr>
          <w:trHeight w:val="255"/>
        </w:trPr>
        <w:tc>
          <w:tcPr>
            <w:tcW w:w="0" w:type="auto"/>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8B3AF2" w:rsidRDefault="008B3AF2" w:rsidP="00D32AFF">
            <w:pPr>
              <w:rPr>
                <w:rFonts w:ascii="Arial" w:hAnsi="Arial" w:cs="Arial"/>
                <w:sz w:val="20"/>
                <w:szCs w:val="20"/>
              </w:rPr>
            </w:pPr>
            <w:r>
              <w:rPr>
                <w:rFonts w:ascii="Arial" w:hAnsi="Arial" w:cs="Arial"/>
                <w:sz w:val="20"/>
                <w:szCs w:val="20"/>
              </w:rPr>
              <w:t>*** Subset of Federal and State and local funds</w:t>
            </w:r>
          </w:p>
        </w:tc>
      </w:tr>
    </w:tbl>
    <w:p w:rsidR="008B3AF2" w:rsidRDefault="008B3AF2" w:rsidP="008B3AF2">
      <w:pPr>
        <w:rPr>
          <w:rFonts w:ascii="Arial" w:hAnsi="Arial" w:cs="Arial"/>
          <w:sz w:val="20"/>
        </w:rPr>
      </w:pPr>
    </w:p>
    <w:p w:rsidR="008B3AF2" w:rsidRDefault="008B3AF2" w:rsidP="008B3AF2">
      <w:pPr>
        <w:pStyle w:val="BodyTextIndent"/>
      </w:pPr>
      <w:r>
        <w:t xml:space="preserve">Note: The public payments numbers in Table 1 and Table 2 do not match as categories of expenditures are included in Table 1 that </w:t>
      </w:r>
      <w:proofErr w:type="gramStart"/>
      <w:r>
        <w:t>are</w:t>
      </w:r>
      <w:proofErr w:type="gramEnd"/>
      <w:r>
        <w:t xml:space="preserve"> not included in Table 2. Table 2 focuses solely on expenditures for Medicare, Medicaid, and SCHIP.</w:t>
      </w:r>
    </w:p>
    <w:p w:rsidR="008B3AF2" w:rsidRDefault="008B3AF2" w:rsidP="008B3AF2">
      <w:pPr>
        <w:rPr>
          <w:rFonts w:ascii="Arial" w:hAnsi="Arial" w:cs="Arial"/>
          <w:sz w:val="20"/>
        </w:rPr>
      </w:pPr>
    </w:p>
    <w:p w:rsidR="008B3AF2" w:rsidRDefault="008B3AF2" w:rsidP="008B3AF2">
      <w:pPr>
        <w:ind w:left="720" w:hanging="720"/>
        <w:rPr>
          <w:rFonts w:ascii="Arial" w:hAnsi="Arial" w:cs="Arial"/>
          <w:sz w:val="20"/>
          <w:szCs w:val="20"/>
        </w:rPr>
      </w:pPr>
      <w:r>
        <w:rPr>
          <w:rFonts w:ascii="Arial" w:hAnsi="Arial" w:cs="Arial"/>
          <w:sz w:val="20"/>
          <w:szCs w:val="20"/>
        </w:rPr>
        <w:lastRenderedPageBreak/>
        <w:t xml:space="preserve">Source: Smith C, et al. 2005. Health spending growth slows in 2003. </w:t>
      </w:r>
      <w:r>
        <w:rPr>
          <w:rFonts w:ascii="Arial" w:hAnsi="Arial" w:cs="Arial"/>
          <w:i/>
          <w:iCs/>
          <w:sz w:val="20"/>
          <w:szCs w:val="20"/>
        </w:rPr>
        <w:t>Health Affairs</w:t>
      </w:r>
      <w:r>
        <w:rPr>
          <w:rFonts w:ascii="Arial" w:hAnsi="Arial" w:cs="Arial"/>
          <w:sz w:val="20"/>
          <w:szCs w:val="20"/>
        </w:rPr>
        <w:t xml:space="preserve">, 24(1): 185-194; available at </w:t>
      </w:r>
      <w:hyperlink r:id="rId4" w:history="1">
        <w:r>
          <w:rPr>
            <w:rStyle w:val="Hyperlink"/>
            <w:rFonts w:ascii="Arial" w:hAnsi="Arial" w:cs="Arial"/>
            <w:sz w:val="20"/>
            <w:szCs w:val="20"/>
          </w:rPr>
          <w:t>http://content.healthaffairs.org/cgi/reprint/24/1/185</w:t>
        </w:r>
      </w:hyperlink>
    </w:p>
    <w:p w:rsidR="005A3262" w:rsidRDefault="005A3262" w:rsidP="005A3262">
      <w:pPr>
        <w:rPr>
          <w:rFonts w:ascii="Arial" w:hAnsi="Arial" w:cs="Arial"/>
          <w:sz w:val="20"/>
        </w:rPr>
      </w:pPr>
    </w:p>
    <w:tbl>
      <w:tblPr>
        <w:tblW w:w="9220" w:type="dxa"/>
        <w:tblCellMar>
          <w:left w:w="0" w:type="dxa"/>
          <w:right w:w="0" w:type="dxa"/>
        </w:tblCellMar>
        <w:tblLook w:val="0000"/>
      </w:tblPr>
      <w:tblGrid>
        <w:gridCol w:w="664"/>
        <w:gridCol w:w="977"/>
        <w:gridCol w:w="1123"/>
        <w:gridCol w:w="742"/>
        <w:gridCol w:w="1422"/>
        <w:gridCol w:w="1313"/>
        <w:gridCol w:w="742"/>
        <w:gridCol w:w="1100"/>
        <w:gridCol w:w="1138"/>
      </w:tblGrid>
      <w:tr w:rsidR="005A3262" w:rsidTr="00D32AFF">
        <w:trPr>
          <w:trHeight w:val="255"/>
        </w:trPr>
        <w:tc>
          <w:tcPr>
            <w:tcW w:w="9220" w:type="dxa"/>
            <w:gridSpan w:val="9"/>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b/>
                <w:bCs/>
                <w:sz w:val="20"/>
                <w:szCs w:val="20"/>
              </w:rPr>
            </w:pPr>
            <w:r>
              <w:rPr>
                <w:rFonts w:ascii="Arial" w:hAnsi="Arial" w:cs="Arial"/>
                <w:b/>
                <w:bCs/>
                <w:sz w:val="20"/>
                <w:szCs w:val="20"/>
              </w:rPr>
              <w:t>Table 1: Sources of National Health Expenditures (in billion $)</w:t>
            </w:r>
          </w:p>
        </w:tc>
      </w:tr>
      <w:tr w:rsidR="005A3262" w:rsidTr="00D32AFF">
        <w:trPr>
          <w:cantSplit/>
          <w:trHeight w:val="255"/>
        </w:trPr>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Year</w:t>
            </w:r>
          </w:p>
        </w:tc>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Total</w:t>
            </w:r>
          </w:p>
        </w:tc>
        <w:tc>
          <w:tcPr>
            <w:tcW w:w="9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Out-of-Pocket</w:t>
            </w:r>
          </w:p>
        </w:tc>
        <w:tc>
          <w:tcPr>
            <w:tcW w:w="0" w:type="auto"/>
            <w:gridSpan w:val="6"/>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Third-Party Payments</w:t>
            </w:r>
          </w:p>
        </w:tc>
      </w:tr>
      <w:tr w:rsidR="005A3262" w:rsidTr="00D32AFF">
        <w:trPr>
          <w:cantSplit/>
          <w:trHeight w:val="255"/>
        </w:trPr>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val="restart"/>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Total</w:t>
            </w:r>
          </w:p>
        </w:tc>
        <w:tc>
          <w:tcPr>
            <w:tcW w:w="112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Private Health Insurance</w:t>
            </w:r>
          </w:p>
        </w:tc>
        <w:tc>
          <w:tcPr>
            <w:tcW w:w="122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Other Private Funds</w:t>
            </w:r>
          </w:p>
        </w:tc>
        <w:tc>
          <w:tcPr>
            <w:tcW w:w="0" w:type="auto"/>
            <w:gridSpan w:val="3"/>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Public</w:t>
            </w:r>
          </w:p>
        </w:tc>
      </w:tr>
      <w:tr w:rsidR="005A3262" w:rsidTr="00D32AFF">
        <w:trPr>
          <w:cantSplit/>
          <w:trHeight w:val="510"/>
        </w:trPr>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tcPr>
          <w:p w:rsidR="005A3262" w:rsidRDefault="005A3262" w:rsidP="00D32AFF">
            <w:pPr>
              <w:rPr>
                <w:rFonts w:ascii="Arial" w:hAnsi="Arial" w:cs="Arial"/>
                <w:sz w:val="20"/>
                <w:szCs w:val="20"/>
              </w:rPr>
            </w:pP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Federal*</w:t>
            </w:r>
          </w:p>
        </w:tc>
        <w:tc>
          <w:tcPr>
            <w:tcW w:w="960" w:type="dxa"/>
            <w:tcBorders>
              <w:top w:val="nil"/>
              <w:left w:val="nil"/>
              <w:bottom w:val="single" w:sz="4" w:space="0" w:color="auto"/>
              <w:right w:val="single" w:sz="4" w:space="0" w:color="auto"/>
            </w:tcBorders>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State and Local**</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$13.1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$3.7</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73.2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24.9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20.7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16.3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27.7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17.8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9.9</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1980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247.3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82.3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104.8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72.0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32.8</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699.4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145.0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271.2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239.6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283.7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195.2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88.5</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987.0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149.2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379.6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322.3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57.3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458.2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323.9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134.3</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1,146.1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176.1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447.1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376.8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522.9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369.3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153.6</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1,210.7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186.5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475.6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401.2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74.4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548.6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384.7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163.9</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2003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1,614.2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230.5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662.1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600.6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721.6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488.7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232.9</w:t>
            </w:r>
          </w:p>
        </w:tc>
      </w:tr>
      <w:tr w:rsidR="005A3262" w:rsidTr="00D32AFF">
        <w:trPr>
          <w:hidden/>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vanish/>
                <w:sz w:val="20"/>
              </w:rPr>
            </w:pPr>
            <w:r>
              <w:rPr>
                <w:rFonts w:ascii="Arial" w:hAnsi="Arial" w:cs="Arial"/>
                <w:vanish/>
                <w:sz w:val="20"/>
                <w:szCs w:val="20"/>
              </w:rPr>
              <w:t> </w:t>
            </w:r>
          </w:p>
        </w:tc>
      </w:tr>
      <w:tr w:rsidR="005A3262" w:rsidTr="00D32AFF">
        <w:trPr>
          <w:trHeight w:val="495"/>
        </w:trPr>
        <w:tc>
          <w:tcPr>
            <w:tcW w:w="9220"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5A3262" w:rsidRDefault="005A3262" w:rsidP="00D32AFF">
            <w:pPr>
              <w:rPr>
                <w:rFonts w:ascii="Arial" w:hAnsi="Arial" w:cs="Arial"/>
                <w:sz w:val="20"/>
                <w:szCs w:val="20"/>
              </w:rPr>
            </w:pPr>
            <w:r>
              <w:rPr>
                <w:rFonts w:ascii="Arial" w:hAnsi="Arial" w:cs="Arial"/>
                <w:sz w:val="20"/>
                <w:szCs w:val="20"/>
              </w:rPr>
              <w:t>*  Includes Medicare, Medicaid, Medicaid State Child Health Insurance Program (SCHIP) Expansion, and SCHIP</w:t>
            </w:r>
          </w:p>
        </w:tc>
      </w:tr>
      <w:tr w:rsidR="005A3262" w:rsidTr="00D32AFF">
        <w:trPr>
          <w:trHeight w:val="255"/>
        </w:trPr>
        <w:tc>
          <w:tcPr>
            <w:tcW w:w="9220" w:type="dxa"/>
            <w:gridSpan w:val="9"/>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5A3262" w:rsidRDefault="005A3262" w:rsidP="00D32AFF">
            <w:pPr>
              <w:rPr>
                <w:rFonts w:ascii="Arial" w:hAnsi="Arial" w:cs="Arial"/>
                <w:sz w:val="20"/>
                <w:szCs w:val="20"/>
              </w:rPr>
            </w:pPr>
            <w:r>
              <w:rPr>
                <w:rFonts w:ascii="Arial" w:hAnsi="Arial" w:cs="Arial"/>
                <w:sz w:val="20"/>
                <w:szCs w:val="20"/>
              </w:rPr>
              <w:t>**  Includes Medicaid, Medicaid State Child Health Insurance Program (SCHIP) Expansion, and SCHIP</w:t>
            </w:r>
          </w:p>
        </w:tc>
      </w:tr>
    </w:tbl>
    <w:p w:rsidR="005A3262" w:rsidRDefault="005A3262" w:rsidP="005A3262">
      <w:pPr>
        <w:rPr>
          <w:rFonts w:ascii="Arial" w:hAnsi="Arial" w:cs="Arial"/>
          <w:sz w:val="20"/>
        </w:rPr>
      </w:pPr>
    </w:p>
    <w:tbl>
      <w:tblPr>
        <w:tblW w:w="6180" w:type="dxa"/>
        <w:tblCellMar>
          <w:left w:w="0" w:type="dxa"/>
          <w:right w:w="0" w:type="dxa"/>
        </w:tblCellMar>
        <w:tblLook w:val="0000"/>
      </w:tblPr>
      <w:tblGrid>
        <w:gridCol w:w="617"/>
        <w:gridCol w:w="690"/>
        <w:gridCol w:w="1023"/>
        <w:gridCol w:w="1007"/>
        <w:gridCol w:w="1385"/>
        <w:gridCol w:w="1458"/>
      </w:tblGrid>
      <w:tr w:rsidR="005A3262" w:rsidTr="00D32AFF">
        <w:trPr>
          <w:trHeight w:val="255"/>
        </w:trPr>
        <w:tc>
          <w:tcPr>
            <w:tcW w:w="6180" w:type="dxa"/>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b/>
                <w:bCs/>
                <w:sz w:val="20"/>
                <w:szCs w:val="20"/>
              </w:rPr>
            </w:pPr>
            <w:r>
              <w:rPr>
                <w:rFonts w:ascii="Arial" w:hAnsi="Arial" w:cs="Arial"/>
                <w:b/>
                <w:bCs/>
                <w:sz w:val="20"/>
                <w:szCs w:val="20"/>
              </w:rPr>
              <w:t>Table 2: Public Program Payments (in billion $)</w:t>
            </w:r>
          </w:p>
        </w:tc>
      </w:tr>
      <w:tr w:rsidR="005A3262" w:rsidTr="00D32AFF">
        <w:trPr>
          <w:trHeight w:val="510"/>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Year</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Total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Federal*</w:t>
            </w:r>
          </w:p>
        </w:tc>
        <w:tc>
          <w:tcPr>
            <w:tcW w:w="960" w:type="dxa"/>
            <w:tcBorders>
              <w:top w:val="nil"/>
              <w:left w:val="nil"/>
              <w:bottom w:val="single" w:sz="4" w:space="0" w:color="auto"/>
              <w:right w:val="single" w:sz="4" w:space="0" w:color="auto"/>
            </w:tcBorders>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State and Local*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Medicare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Medicaid ***</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1980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$55.2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$10.6</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1988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111.7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84.2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27.6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20.7</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183.7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146.9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36.8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90.1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48.5</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206.6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166.4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40.2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107.2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54.5</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217.0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176.4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40.6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116.0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56.9</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223.7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182.2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122.5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58.1</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226.2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181.5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44.7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61.0</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1999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232.6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186.0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46.7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66.3</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242.8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194.2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48.6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126.9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69.9</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2001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262.6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211.6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51.1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137.2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74.9</w:t>
            </w:r>
          </w:p>
        </w:tc>
      </w:tr>
      <w:tr w:rsidR="005A3262" w:rsidTr="00D32AFF">
        <w:trPr>
          <w:trHeight w:val="25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center"/>
              <w:rPr>
                <w:rFonts w:ascii="Arial" w:hAnsi="Arial" w:cs="Arial"/>
                <w:sz w:val="20"/>
                <w:szCs w:val="20"/>
              </w:rPr>
            </w:pPr>
            <w:r>
              <w:rPr>
                <w:rFonts w:ascii="Arial" w:hAnsi="Arial" w:cs="Arial"/>
                <w:sz w:val="20"/>
                <w:szCs w:val="20"/>
              </w:rPr>
              <w:t>2002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286.4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229.9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56.5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149.2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jc w:val="right"/>
              <w:rPr>
                <w:rFonts w:ascii="Arial" w:hAnsi="Arial" w:cs="Arial"/>
                <w:sz w:val="20"/>
                <w:szCs w:val="20"/>
              </w:rPr>
            </w:pPr>
            <w:r>
              <w:rPr>
                <w:rFonts w:ascii="Arial" w:hAnsi="Arial" w:cs="Arial"/>
                <w:sz w:val="20"/>
                <w:szCs w:val="20"/>
              </w:rPr>
              <w:t>83.1</w:t>
            </w:r>
          </w:p>
        </w:tc>
      </w:tr>
      <w:tr w:rsidR="005A3262" w:rsidTr="00D32AFF">
        <w:trPr>
          <w:trHeight w:val="510"/>
        </w:trPr>
        <w:tc>
          <w:tcPr>
            <w:tcW w:w="6180" w:type="dxa"/>
            <w:gridSpan w:val="6"/>
            <w:tcBorders>
              <w:top w:val="single" w:sz="4" w:space="0" w:color="auto"/>
              <w:left w:val="single" w:sz="4" w:space="0" w:color="auto"/>
              <w:bottom w:val="single" w:sz="4" w:space="0" w:color="auto"/>
              <w:right w:val="single" w:sz="4" w:space="0" w:color="000000"/>
            </w:tcBorders>
            <w:tcMar>
              <w:top w:w="14" w:type="dxa"/>
              <w:left w:w="14" w:type="dxa"/>
              <w:bottom w:w="0" w:type="dxa"/>
              <w:right w:w="14" w:type="dxa"/>
            </w:tcMar>
            <w:vAlign w:val="bottom"/>
          </w:tcPr>
          <w:p w:rsidR="005A3262" w:rsidRDefault="005A3262" w:rsidP="00D32AFF">
            <w:pPr>
              <w:rPr>
                <w:rFonts w:ascii="Arial" w:hAnsi="Arial" w:cs="Arial"/>
                <w:sz w:val="20"/>
                <w:szCs w:val="20"/>
              </w:rPr>
            </w:pPr>
            <w:r>
              <w:rPr>
                <w:rFonts w:ascii="Arial" w:hAnsi="Arial" w:cs="Arial"/>
                <w:sz w:val="20"/>
                <w:szCs w:val="20"/>
              </w:rPr>
              <w:t>* Includes Medicaid State Child Health Insurance Program Expansion (SCHIP) and SCHIP</w:t>
            </w:r>
          </w:p>
        </w:tc>
      </w:tr>
      <w:tr w:rsidR="005A3262" w:rsidTr="00D32AFF">
        <w:trPr>
          <w:trHeight w:val="255"/>
        </w:trPr>
        <w:tc>
          <w:tcPr>
            <w:tcW w:w="0" w:type="auto"/>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sz w:val="20"/>
                <w:szCs w:val="20"/>
              </w:rPr>
            </w:pPr>
            <w:r>
              <w:rPr>
                <w:rFonts w:ascii="Arial" w:hAnsi="Arial" w:cs="Arial"/>
                <w:sz w:val="20"/>
                <w:szCs w:val="20"/>
              </w:rPr>
              <w:t>** Subset of Federal funds</w:t>
            </w:r>
          </w:p>
        </w:tc>
      </w:tr>
      <w:tr w:rsidR="005A3262" w:rsidTr="00D32AFF">
        <w:trPr>
          <w:trHeight w:val="255"/>
        </w:trPr>
        <w:tc>
          <w:tcPr>
            <w:tcW w:w="0" w:type="auto"/>
            <w:gridSpan w:val="6"/>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5A3262" w:rsidRDefault="005A3262" w:rsidP="00D32AFF">
            <w:pPr>
              <w:rPr>
                <w:rFonts w:ascii="Arial" w:hAnsi="Arial" w:cs="Arial"/>
                <w:sz w:val="20"/>
                <w:szCs w:val="20"/>
              </w:rPr>
            </w:pPr>
            <w:r>
              <w:rPr>
                <w:rFonts w:ascii="Arial" w:hAnsi="Arial" w:cs="Arial"/>
                <w:sz w:val="20"/>
                <w:szCs w:val="20"/>
              </w:rPr>
              <w:t>*** Subset of Federal and State and local funds</w:t>
            </w:r>
          </w:p>
        </w:tc>
      </w:tr>
    </w:tbl>
    <w:p w:rsidR="005A3262" w:rsidRDefault="005A3262" w:rsidP="005A3262">
      <w:pPr>
        <w:rPr>
          <w:rFonts w:ascii="Arial" w:hAnsi="Arial" w:cs="Arial"/>
          <w:sz w:val="20"/>
        </w:rPr>
      </w:pPr>
    </w:p>
    <w:p w:rsidR="005A3262" w:rsidRDefault="005A3262" w:rsidP="005A3262">
      <w:pPr>
        <w:pStyle w:val="BodyTextIndent"/>
      </w:pPr>
      <w:r>
        <w:t xml:space="preserve">Note: The public payments numbers in Table 1 and Table 2 do not match as categories of expenditures are included in Table 1 that </w:t>
      </w:r>
      <w:proofErr w:type="gramStart"/>
      <w:r>
        <w:t>are</w:t>
      </w:r>
      <w:proofErr w:type="gramEnd"/>
      <w:r>
        <w:t xml:space="preserve"> not included in Table 2. Table 2 focuses solely on expenditures for Medicare, Medicaid, and SCHIP.</w:t>
      </w:r>
    </w:p>
    <w:p w:rsidR="005A3262" w:rsidRDefault="005A3262" w:rsidP="005A3262">
      <w:pPr>
        <w:rPr>
          <w:rFonts w:ascii="Arial" w:hAnsi="Arial" w:cs="Arial"/>
          <w:sz w:val="20"/>
        </w:rPr>
      </w:pPr>
    </w:p>
    <w:p w:rsidR="005A3262" w:rsidRDefault="005A3262" w:rsidP="005A3262">
      <w:pPr>
        <w:ind w:left="720" w:hanging="720"/>
        <w:rPr>
          <w:rFonts w:ascii="Arial" w:hAnsi="Arial" w:cs="Arial"/>
          <w:sz w:val="20"/>
          <w:szCs w:val="20"/>
        </w:rPr>
      </w:pPr>
      <w:r>
        <w:rPr>
          <w:rFonts w:ascii="Arial" w:hAnsi="Arial" w:cs="Arial"/>
          <w:sz w:val="20"/>
          <w:szCs w:val="20"/>
        </w:rPr>
        <w:t xml:space="preserve">Source: Smith C, et al. 2005. Health spending growth slows in 2003. </w:t>
      </w:r>
      <w:r>
        <w:rPr>
          <w:rFonts w:ascii="Arial" w:hAnsi="Arial" w:cs="Arial"/>
          <w:i/>
          <w:iCs/>
          <w:sz w:val="20"/>
          <w:szCs w:val="20"/>
        </w:rPr>
        <w:t>Health Affairs</w:t>
      </w:r>
      <w:r>
        <w:rPr>
          <w:rFonts w:ascii="Arial" w:hAnsi="Arial" w:cs="Arial"/>
          <w:sz w:val="20"/>
          <w:szCs w:val="20"/>
        </w:rPr>
        <w:t xml:space="preserve">, 24(1): 185-194; available at </w:t>
      </w:r>
      <w:hyperlink r:id="rId5" w:history="1">
        <w:r>
          <w:rPr>
            <w:rStyle w:val="Hyperlink"/>
            <w:rFonts w:ascii="Arial" w:hAnsi="Arial" w:cs="Arial"/>
            <w:sz w:val="20"/>
            <w:szCs w:val="20"/>
          </w:rPr>
          <w:t>http://content.healthaffairs.org/cgi/reprint/24/1/185</w:t>
        </w:r>
      </w:hyperlink>
    </w:p>
    <w:p w:rsidR="005A3262" w:rsidRDefault="005A3262" w:rsidP="005A3262">
      <w:pPr>
        <w:rPr>
          <w:rFonts w:ascii="Arial" w:hAnsi="Arial" w:cs="Arial"/>
          <w:sz w:val="20"/>
        </w:rPr>
      </w:pPr>
    </w:p>
    <w:p w:rsidR="00A5241F" w:rsidRDefault="00A5241F" w:rsidP="006353E3"/>
    <w:p w:rsidR="005A3262" w:rsidRDefault="005A3262" w:rsidP="006353E3"/>
    <w:p w:rsidR="005A3262" w:rsidRPr="005A3262" w:rsidRDefault="005A3262" w:rsidP="005A3262">
      <w:pPr>
        <w:spacing w:before="100" w:beforeAutospacing="1" w:after="100" w:afterAutospacing="1"/>
        <w:rPr>
          <w:rFonts w:ascii="Verdana" w:hAnsi="Verdana"/>
          <w:color w:val="000000"/>
          <w:sz w:val="17"/>
          <w:szCs w:val="17"/>
        </w:rPr>
      </w:pPr>
      <w:r w:rsidRPr="005A3262">
        <w:rPr>
          <w:rFonts w:ascii="Verdana" w:hAnsi="Verdana"/>
          <w:color w:val="000000"/>
          <w:sz w:val="17"/>
          <w:szCs w:val="17"/>
        </w:rPr>
        <w:lastRenderedPageBreak/>
        <w:t>Table 1 presents a breakdown of the sources of national health expenditures for selected years from 1960 through 2003. Comment on the changes in the categories of expenditure sources (i.e., out-of-pocket, third-party payers, and types of third-party payers), both year-to-year changes and over the entire period.</w:t>
      </w:r>
    </w:p>
    <w:p w:rsidR="005A3262" w:rsidRPr="005A3262" w:rsidRDefault="005A3262" w:rsidP="005A3262">
      <w:pPr>
        <w:spacing w:before="100" w:beforeAutospacing="1" w:after="100" w:afterAutospacing="1"/>
        <w:rPr>
          <w:rFonts w:ascii="Verdana" w:hAnsi="Verdana"/>
          <w:color w:val="000000"/>
          <w:sz w:val="17"/>
          <w:szCs w:val="17"/>
        </w:rPr>
      </w:pPr>
      <w:r w:rsidRPr="005A3262">
        <w:rPr>
          <w:rFonts w:ascii="Verdana" w:hAnsi="Verdana"/>
          <w:color w:val="000000"/>
          <w:sz w:val="17"/>
          <w:szCs w:val="17"/>
        </w:rPr>
        <w:t>Table 2 presents a breakdown of public program payments for selected years from 1980 through 2002. Describe the situation state and local budget officials are facing, in economic terms, as they construct expenditure plans for Medicaid and other programs. Remember that Medicaid expenditures (which account for over 20% of state budgets) are increasing each year at a rate that exceeds the rise in other spending categories (such as elementary and secondary education, which accounts for 22% of state budgets) and revenue projections are approximately 4-5% over previous years. Explain how this typifies "the economic problem" and what economic principle it illustrates.</w:t>
      </w:r>
    </w:p>
    <w:p w:rsidR="005A3262" w:rsidRPr="005A3262" w:rsidRDefault="005A3262" w:rsidP="005A3262">
      <w:pPr>
        <w:spacing w:before="100" w:beforeAutospacing="1" w:after="100" w:afterAutospacing="1"/>
        <w:rPr>
          <w:rFonts w:ascii="Verdana" w:hAnsi="Verdana"/>
          <w:color w:val="000000"/>
          <w:sz w:val="17"/>
          <w:szCs w:val="17"/>
        </w:rPr>
      </w:pPr>
      <w:r w:rsidRPr="005A3262">
        <w:rPr>
          <w:rFonts w:ascii="Verdana" w:hAnsi="Verdana"/>
          <w:color w:val="000000"/>
          <w:sz w:val="17"/>
          <w:szCs w:val="17"/>
        </w:rPr>
        <w:t>When analyzing these types of statistics, you will find it useful to present the data visually, such as by constructing a line graph or a bar diagram. A bar diagram will clearly show changes in values. You can use a spreadsheet program such as MS Excel or Lotus to construct a graph.</w:t>
      </w:r>
    </w:p>
    <w:p w:rsidR="005A3262" w:rsidRPr="006353E3" w:rsidRDefault="005A3262" w:rsidP="005A3262">
      <w:pPr>
        <w:spacing w:before="100" w:beforeAutospacing="1" w:after="100" w:afterAutospacing="1"/>
      </w:pPr>
      <w:r w:rsidRPr="005A3262">
        <w:rPr>
          <w:rFonts w:ascii="Verdana" w:hAnsi="Verdana"/>
          <w:color w:val="000000"/>
          <w:sz w:val="17"/>
          <w:szCs w:val="17"/>
        </w:rPr>
        <w:t>.</w:t>
      </w:r>
      <w:r w:rsidRPr="006353E3">
        <w:t xml:space="preserve"> </w:t>
      </w:r>
    </w:p>
    <w:sectPr w:rsidR="005A3262" w:rsidRPr="006353E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Footer"/>
      <w:rPr>
        <w:rFonts w:ascii="Arial" w:hAnsi="Arial" w:cs="Arial"/>
        <w:sz w:val="20"/>
      </w:rPr>
    </w:pPr>
    <w:r>
      <w:rPr>
        <w:rFonts w:ascii="Arial" w:hAnsi="Arial" w:cs="Arial"/>
        <w:sz w:val="20"/>
      </w:rPr>
      <w:t>HCM3002</w:t>
    </w:r>
    <w:r>
      <w:rPr>
        <w:rFonts w:ascii="Arial" w:hAnsi="Arial" w:cs="Arial"/>
        <w:sz w:val="20"/>
      </w:rPr>
      <w:tab/>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
  <w:p w:rsidR="00000000" w:rsidRDefault="008B3AF2">
    <w:pPr>
      <w:pStyle w:val="Footer"/>
      <w:rPr>
        <w:sz w:val="20"/>
      </w:rPr>
    </w:pPr>
    <w:r>
      <w:rPr>
        <w:rFonts w:ascii="Arial" w:hAnsi="Arial" w:cs="Arial"/>
        <w:sz w:val="20"/>
      </w:rPr>
      <w:tab/>
    </w:r>
    <w:r>
      <w:rPr>
        <w:rFonts w:ascii="Arial" w:hAnsi="Arial" w:cs="Arial"/>
        <w:sz w:val="20"/>
      </w:rPr>
      <w:tab/>
      <w:t>© 2005 South University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A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F42"/>
    <w:rsid w:val="000C1F56"/>
    <w:rsid w:val="005A3262"/>
    <w:rsid w:val="006353E3"/>
    <w:rsid w:val="008B3AF2"/>
    <w:rsid w:val="00A5241F"/>
    <w:rsid w:val="00AD55CB"/>
    <w:rsid w:val="00B55F42"/>
    <w:rsid w:val="00E96D27"/>
    <w:rsid w:val="00EA0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F42"/>
    <w:pPr>
      <w:spacing w:before="100" w:beforeAutospacing="1" w:after="100" w:afterAutospacing="1"/>
    </w:pPr>
    <w:rPr>
      <w:rFonts w:ascii="Verdana" w:hAnsi="Verdana"/>
      <w:color w:val="000000"/>
    </w:rPr>
  </w:style>
  <w:style w:type="character" w:styleId="Hyperlink">
    <w:name w:val="Hyperlink"/>
    <w:basedOn w:val="DefaultParagraphFont"/>
    <w:uiPriority w:val="99"/>
    <w:semiHidden/>
    <w:unhideWhenUsed/>
    <w:rsid w:val="00B55F42"/>
    <w:rPr>
      <w:color w:val="3333CC"/>
      <w:u w:val="single"/>
    </w:rPr>
  </w:style>
  <w:style w:type="character" w:styleId="Emphasis">
    <w:name w:val="Emphasis"/>
    <w:basedOn w:val="DefaultParagraphFont"/>
    <w:uiPriority w:val="20"/>
    <w:qFormat/>
    <w:rsid w:val="00A5241F"/>
    <w:rPr>
      <w:i/>
      <w:iCs/>
    </w:rPr>
  </w:style>
  <w:style w:type="paragraph" w:styleId="BodyTextIndent">
    <w:name w:val="Body Text Indent"/>
    <w:basedOn w:val="Normal"/>
    <w:link w:val="BodyTextIndentChar"/>
    <w:semiHidden/>
    <w:rsid w:val="005A3262"/>
    <w:pPr>
      <w:ind w:left="540" w:hanging="540"/>
    </w:pPr>
    <w:rPr>
      <w:rFonts w:ascii="Arial" w:hAnsi="Arial" w:cs="Arial"/>
      <w:sz w:val="20"/>
      <w:szCs w:val="20"/>
    </w:rPr>
  </w:style>
  <w:style w:type="character" w:customStyle="1" w:styleId="BodyTextIndentChar">
    <w:name w:val="Body Text Indent Char"/>
    <w:basedOn w:val="DefaultParagraphFont"/>
    <w:link w:val="BodyTextIndent"/>
    <w:semiHidden/>
    <w:rsid w:val="005A3262"/>
    <w:rPr>
      <w:rFonts w:ascii="Arial" w:eastAsia="Times New Roman" w:hAnsi="Arial" w:cs="Arial"/>
      <w:sz w:val="20"/>
      <w:szCs w:val="20"/>
    </w:rPr>
  </w:style>
  <w:style w:type="paragraph" w:styleId="Header">
    <w:name w:val="header"/>
    <w:basedOn w:val="Normal"/>
    <w:link w:val="HeaderChar"/>
    <w:semiHidden/>
    <w:rsid w:val="005A3262"/>
    <w:pPr>
      <w:tabs>
        <w:tab w:val="center" w:pos="4320"/>
        <w:tab w:val="right" w:pos="8640"/>
      </w:tabs>
    </w:pPr>
  </w:style>
  <w:style w:type="character" w:customStyle="1" w:styleId="HeaderChar">
    <w:name w:val="Header Char"/>
    <w:basedOn w:val="DefaultParagraphFont"/>
    <w:link w:val="Header"/>
    <w:semiHidden/>
    <w:rsid w:val="005A3262"/>
    <w:rPr>
      <w:rFonts w:ascii="Times New Roman" w:eastAsia="Times New Roman" w:hAnsi="Times New Roman" w:cs="Times New Roman"/>
      <w:sz w:val="24"/>
      <w:szCs w:val="24"/>
    </w:rPr>
  </w:style>
  <w:style w:type="paragraph" w:styleId="Footer">
    <w:name w:val="footer"/>
    <w:basedOn w:val="Normal"/>
    <w:link w:val="FooterChar"/>
    <w:semiHidden/>
    <w:rsid w:val="005A3262"/>
    <w:pPr>
      <w:tabs>
        <w:tab w:val="center" w:pos="4320"/>
        <w:tab w:val="right" w:pos="8640"/>
      </w:tabs>
    </w:pPr>
  </w:style>
  <w:style w:type="character" w:customStyle="1" w:styleId="FooterChar">
    <w:name w:val="Footer Char"/>
    <w:basedOn w:val="DefaultParagraphFont"/>
    <w:link w:val="Footer"/>
    <w:semiHidden/>
    <w:rsid w:val="005A3262"/>
    <w:rPr>
      <w:rFonts w:ascii="Times New Roman" w:eastAsia="Times New Roman" w:hAnsi="Times New Roman" w:cs="Times New Roman"/>
      <w:sz w:val="24"/>
      <w:szCs w:val="24"/>
    </w:rPr>
  </w:style>
  <w:style w:type="paragraph" w:styleId="Title">
    <w:name w:val="Title"/>
    <w:basedOn w:val="Normal"/>
    <w:link w:val="TitleChar"/>
    <w:qFormat/>
    <w:rsid w:val="005A3262"/>
    <w:pPr>
      <w:jc w:val="center"/>
    </w:pPr>
    <w:rPr>
      <w:rFonts w:ascii="Arial" w:hAnsi="Arial" w:cs="Arial"/>
      <w:b/>
      <w:sz w:val="20"/>
    </w:rPr>
  </w:style>
  <w:style w:type="character" w:customStyle="1" w:styleId="TitleChar">
    <w:name w:val="Title Char"/>
    <w:basedOn w:val="DefaultParagraphFont"/>
    <w:link w:val="Title"/>
    <w:rsid w:val="005A3262"/>
    <w:rPr>
      <w:rFonts w:ascii="Arial" w:eastAsia="Times New Roman" w:hAnsi="Arial" w:cs="Arial"/>
      <w:b/>
      <w:sz w:val="20"/>
      <w:szCs w:val="24"/>
    </w:rPr>
  </w:style>
  <w:style w:type="character" w:styleId="Strong">
    <w:name w:val="Strong"/>
    <w:basedOn w:val="DefaultParagraphFont"/>
    <w:uiPriority w:val="22"/>
    <w:qFormat/>
    <w:rsid w:val="005A3262"/>
    <w:rPr>
      <w:b/>
      <w:bCs/>
    </w:rPr>
  </w:style>
  <w:style w:type="paragraph" w:customStyle="1" w:styleId="text">
    <w:name w:val="text"/>
    <w:basedOn w:val="Normal"/>
    <w:rsid w:val="005A3262"/>
    <w:pPr>
      <w:spacing w:before="100" w:beforeAutospacing="1" w:after="100" w:afterAutospacing="1"/>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1248034502">
      <w:bodyDiv w:val="1"/>
      <w:marLeft w:val="0"/>
      <w:marRight w:val="0"/>
      <w:marTop w:val="0"/>
      <w:marBottom w:val="0"/>
      <w:divBdr>
        <w:top w:val="none" w:sz="0" w:space="0" w:color="auto"/>
        <w:left w:val="none" w:sz="0" w:space="0" w:color="auto"/>
        <w:bottom w:val="none" w:sz="0" w:space="0" w:color="auto"/>
        <w:right w:val="none" w:sz="0" w:space="0" w:color="auto"/>
      </w:divBdr>
      <w:divsChild>
        <w:div w:id="18600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content.healthaffairs.org/cgi/reprint/24/1/185" TargetMode="External"/><Relationship Id="rId10" Type="http://schemas.openxmlformats.org/officeDocument/2006/relationships/header" Target="header3.xml"/><Relationship Id="rId4" Type="http://schemas.openxmlformats.org/officeDocument/2006/relationships/hyperlink" Target="http://content.healthaffairs.org/cgi/reprint/24/1/185"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cp:revision>
  <dcterms:created xsi:type="dcterms:W3CDTF">2010-10-12T18:47:00Z</dcterms:created>
  <dcterms:modified xsi:type="dcterms:W3CDTF">2010-10-12T21:36:00Z</dcterms:modified>
</cp:coreProperties>
</file>