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264D" w14:textId="3B9B7320" w:rsidR="000F09F9" w:rsidRPr="00E61BF0" w:rsidRDefault="00974FC6" w:rsidP="00186F85">
      <w:pPr>
        <w:pStyle w:val="ListParagraph"/>
        <w:numPr>
          <w:ilvl w:val="0"/>
          <w:numId w:val="11"/>
        </w:numPr>
        <w:spacing w:line="240" w:lineRule="auto"/>
        <w:rPr>
          <w:color w:val="ED7D31" w:themeColor="accent2"/>
        </w:rPr>
      </w:pPr>
      <w:r w:rsidRPr="00E61BF0">
        <w:rPr>
          <w:color w:val="ED7D31" w:themeColor="accent2"/>
        </w:rPr>
        <w:t>(</w:t>
      </w:r>
      <w:r w:rsidR="00186F85">
        <w:rPr>
          <w:color w:val="ED7D31" w:themeColor="accent2"/>
        </w:rPr>
        <w:t>Consumer Price Index</w:t>
      </w:r>
      <w:r w:rsidRPr="00E61BF0">
        <w:rPr>
          <w:color w:val="ED7D31" w:themeColor="accent2"/>
        </w:rPr>
        <w:t xml:space="preserve">) </w:t>
      </w:r>
      <w:r w:rsidR="00186F85">
        <w:rPr>
          <w:color w:val="ED7D31" w:themeColor="accent2"/>
        </w:rPr>
        <w:t xml:space="preserve">Calculate a new consumer price index for the </w:t>
      </w:r>
      <w:r w:rsidR="009C1FAA">
        <w:rPr>
          <w:color w:val="ED7D31" w:themeColor="accent2"/>
        </w:rPr>
        <w:t>data</w:t>
      </w:r>
      <w:r w:rsidR="00186F85">
        <w:rPr>
          <w:color w:val="ED7D31" w:themeColor="accent2"/>
        </w:rPr>
        <w:t xml:space="preserve"> in the following exhibit.  Assume that current-year prices of Twinkies, fuel oil, and cable TV are $0.95/package, $1.25/gallon, and $15.00/month, respectively.  Calculate the current </w:t>
      </w:r>
      <w:r w:rsidR="009C1FAA">
        <w:rPr>
          <w:color w:val="ED7D31" w:themeColor="accent2"/>
        </w:rPr>
        <w:t>year’s</w:t>
      </w:r>
      <w:r w:rsidR="00186F85">
        <w:rPr>
          <w:color w:val="ED7D31" w:themeColor="accent2"/>
        </w:rPr>
        <w:t xml:space="preserve"> cost on the market basket and the value of the current year’s price index.  What is the year’s percentage change in the price level compared to the base year?</w:t>
      </w:r>
    </w:p>
    <w:p w14:paraId="4E6231A8" w14:textId="77777777" w:rsidR="00186F85" w:rsidRPr="00186F85" w:rsidRDefault="00186F85" w:rsidP="00186F85">
      <w:pPr>
        <w:spacing w:line="240" w:lineRule="auto"/>
        <w:rPr>
          <w:color w:val="ED7D31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617"/>
        <w:gridCol w:w="1609"/>
        <w:gridCol w:w="1568"/>
        <w:gridCol w:w="1583"/>
        <w:gridCol w:w="1590"/>
      </w:tblGrid>
      <w:tr w:rsidR="00186F85" w:rsidRPr="00E61BF0" w14:paraId="1182B33B" w14:textId="77777777" w:rsidTr="00186F85">
        <w:tc>
          <w:tcPr>
            <w:tcW w:w="1393" w:type="dxa"/>
          </w:tcPr>
          <w:p w14:paraId="75B73315" w14:textId="77777777" w:rsidR="00186F85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</w:p>
        </w:tc>
        <w:tc>
          <w:tcPr>
            <w:tcW w:w="1634" w:type="dxa"/>
          </w:tcPr>
          <w:p w14:paraId="74D2FF69" w14:textId="6172370F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(1)</w:t>
            </w:r>
          </w:p>
        </w:tc>
        <w:tc>
          <w:tcPr>
            <w:tcW w:w="1534" w:type="dxa"/>
          </w:tcPr>
          <w:p w14:paraId="5D9D645E" w14:textId="3ED37DB1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(2)</w:t>
            </w:r>
          </w:p>
        </w:tc>
        <w:tc>
          <w:tcPr>
            <w:tcW w:w="1581" w:type="dxa"/>
          </w:tcPr>
          <w:p w14:paraId="7A20427C" w14:textId="0B973483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(3)</w:t>
            </w:r>
          </w:p>
        </w:tc>
        <w:tc>
          <w:tcPr>
            <w:tcW w:w="1604" w:type="dxa"/>
          </w:tcPr>
          <w:p w14:paraId="42A3952B" w14:textId="495FD4A8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(4)</w:t>
            </w:r>
          </w:p>
        </w:tc>
        <w:tc>
          <w:tcPr>
            <w:tcW w:w="1604" w:type="dxa"/>
          </w:tcPr>
          <w:p w14:paraId="189E71DC" w14:textId="27783E18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(5)</w:t>
            </w:r>
          </w:p>
        </w:tc>
      </w:tr>
      <w:tr w:rsidR="00186F85" w:rsidRPr="00E61BF0" w14:paraId="6E168970" w14:textId="77777777" w:rsidTr="00186F85">
        <w:tc>
          <w:tcPr>
            <w:tcW w:w="1393" w:type="dxa"/>
          </w:tcPr>
          <w:p w14:paraId="0CD01E1E" w14:textId="6E08329B" w:rsidR="00186F85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Product</w:t>
            </w:r>
          </w:p>
        </w:tc>
        <w:tc>
          <w:tcPr>
            <w:tcW w:w="1634" w:type="dxa"/>
          </w:tcPr>
          <w:p w14:paraId="5E229BA6" w14:textId="102F9768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Quantity in Market Basket</w:t>
            </w:r>
          </w:p>
        </w:tc>
        <w:tc>
          <w:tcPr>
            <w:tcW w:w="1534" w:type="dxa"/>
          </w:tcPr>
          <w:p w14:paraId="70BA1880" w14:textId="72FE5562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Price in Base Year</w:t>
            </w:r>
          </w:p>
        </w:tc>
        <w:tc>
          <w:tcPr>
            <w:tcW w:w="1581" w:type="dxa"/>
          </w:tcPr>
          <w:p w14:paraId="2E4AE79A" w14:textId="0CB37415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Cost of Bas</w:t>
            </w:r>
            <w:r>
              <w:rPr>
                <w:color w:val="ED7D31" w:themeColor="accent2"/>
              </w:rPr>
              <w:t>k</w:t>
            </w:r>
            <w:r>
              <w:rPr>
                <w:color w:val="ED7D31" w:themeColor="accent2"/>
              </w:rPr>
              <w:t>et</w:t>
            </w:r>
            <w:r>
              <w:rPr>
                <w:color w:val="ED7D31" w:themeColor="accent2"/>
              </w:rPr>
              <w:t xml:space="preserve"> in Base Year</w:t>
            </w:r>
          </w:p>
        </w:tc>
        <w:tc>
          <w:tcPr>
            <w:tcW w:w="1604" w:type="dxa"/>
          </w:tcPr>
          <w:p w14:paraId="0AA3D797" w14:textId="5002CC72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Price in Current Year</w:t>
            </w:r>
          </w:p>
        </w:tc>
        <w:tc>
          <w:tcPr>
            <w:tcW w:w="1604" w:type="dxa"/>
          </w:tcPr>
          <w:p w14:paraId="4A926AC3" w14:textId="166A227C" w:rsidR="00186F85" w:rsidRPr="00E61BF0" w:rsidRDefault="00186F85" w:rsidP="00186F85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Cost of Basket in Current Year</w:t>
            </w:r>
          </w:p>
        </w:tc>
      </w:tr>
      <w:tr w:rsidR="00025816" w:rsidRPr="00025816" w14:paraId="0FF5395D" w14:textId="77777777" w:rsidTr="00186F85">
        <w:tc>
          <w:tcPr>
            <w:tcW w:w="1393" w:type="dxa"/>
          </w:tcPr>
          <w:p w14:paraId="233F95F0" w14:textId="77777777" w:rsidR="00025816" w:rsidRPr="00025816" w:rsidRDefault="00025816" w:rsidP="00025816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967CC7C" w14:textId="77777777" w:rsidR="00025816" w:rsidRPr="00025816" w:rsidRDefault="00025816" w:rsidP="00025816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E1CA901" w14:textId="6D98611B" w:rsidR="00025816" w:rsidRPr="00025816" w:rsidRDefault="00025816" w:rsidP="00025816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  <w:r w:rsidRPr="00025816">
              <w:rPr>
                <w:color w:val="ED7D31" w:themeColor="accent2"/>
                <w:sz w:val="20"/>
                <w:szCs w:val="20"/>
              </w:rPr>
              <w:t>(3) – (1) – (2)</w:t>
            </w:r>
          </w:p>
        </w:tc>
        <w:tc>
          <w:tcPr>
            <w:tcW w:w="1581" w:type="dxa"/>
          </w:tcPr>
          <w:p w14:paraId="2C8C8426" w14:textId="77777777" w:rsidR="00025816" w:rsidRPr="00025816" w:rsidRDefault="00025816" w:rsidP="00025816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5B67827" w14:textId="77777777" w:rsidR="00025816" w:rsidRPr="00025816" w:rsidRDefault="00025816" w:rsidP="00025816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42C3B8B" w14:textId="5B1BA613" w:rsidR="00025816" w:rsidRPr="00025816" w:rsidRDefault="00025816" w:rsidP="00025816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(5) – (1) – (4)</w:t>
            </w:r>
          </w:p>
        </w:tc>
      </w:tr>
      <w:tr w:rsidR="00186F85" w:rsidRPr="00E61BF0" w14:paraId="105EA65A" w14:textId="77777777" w:rsidTr="00186F85">
        <w:tc>
          <w:tcPr>
            <w:tcW w:w="1393" w:type="dxa"/>
          </w:tcPr>
          <w:p w14:paraId="14B5D3AA" w14:textId="4D15CFD0" w:rsidR="00186F85" w:rsidRPr="00E61BF0" w:rsidRDefault="00186F85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Twinkies</w:t>
            </w:r>
          </w:p>
        </w:tc>
        <w:tc>
          <w:tcPr>
            <w:tcW w:w="1634" w:type="dxa"/>
          </w:tcPr>
          <w:p w14:paraId="71A37C47" w14:textId="660A1CBD" w:rsidR="00025816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365 packages</w:t>
            </w:r>
          </w:p>
        </w:tc>
        <w:tc>
          <w:tcPr>
            <w:tcW w:w="1534" w:type="dxa"/>
          </w:tcPr>
          <w:p w14:paraId="27E3B3E5" w14:textId="02A75663" w:rsidR="00186F85" w:rsidRPr="00E61BF0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$0.89/package</w:t>
            </w:r>
          </w:p>
        </w:tc>
        <w:tc>
          <w:tcPr>
            <w:tcW w:w="1581" w:type="dxa"/>
          </w:tcPr>
          <w:p w14:paraId="657914A8" w14:textId="68A9C6FD" w:rsidR="00186F85" w:rsidRPr="00E61BF0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$324.85</w:t>
            </w:r>
          </w:p>
        </w:tc>
        <w:tc>
          <w:tcPr>
            <w:tcW w:w="1604" w:type="dxa"/>
          </w:tcPr>
          <w:p w14:paraId="711A6145" w14:textId="5443CC80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$0.79</w:t>
            </w:r>
          </w:p>
        </w:tc>
        <w:tc>
          <w:tcPr>
            <w:tcW w:w="1604" w:type="dxa"/>
          </w:tcPr>
          <w:p w14:paraId="1C129805" w14:textId="48092D41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$288.35</w:t>
            </w:r>
          </w:p>
        </w:tc>
      </w:tr>
      <w:tr w:rsidR="00186F85" w:rsidRPr="00E61BF0" w14:paraId="36DF0852" w14:textId="77777777" w:rsidTr="00186F85">
        <w:tc>
          <w:tcPr>
            <w:tcW w:w="1393" w:type="dxa"/>
          </w:tcPr>
          <w:p w14:paraId="0E937A54" w14:textId="58D22CB6" w:rsidR="00186F85" w:rsidRPr="00E61BF0" w:rsidRDefault="00186F85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Fuel Oil</w:t>
            </w:r>
          </w:p>
        </w:tc>
        <w:tc>
          <w:tcPr>
            <w:tcW w:w="1634" w:type="dxa"/>
          </w:tcPr>
          <w:p w14:paraId="1A207675" w14:textId="2CFD6CE2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500 gallons</w:t>
            </w:r>
          </w:p>
        </w:tc>
        <w:tc>
          <w:tcPr>
            <w:tcW w:w="1534" w:type="dxa"/>
          </w:tcPr>
          <w:p w14:paraId="6A6D1CF9" w14:textId="2319FFE4" w:rsidR="00186F85" w:rsidRPr="00E61BF0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1.00/gallon</w:t>
            </w:r>
          </w:p>
        </w:tc>
        <w:tc>
          <w:tcPr>
            <w:tcW w:w="1581" w:type="dxa"/>
          </w:tcPr>
          <w:p w14:paraId="76FD7EAE" w14:textId="377A892C" w:rsidR="00186F85" w:rsidRPr="00E61BF0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$500.00</w:t>
            </w:r>
          </w:p>
        </w:tc>
        <w:tc>
          <w:tcPr>
            <w:tcW w:w="1604" w:type="dxa"/>
          </w:tcPr>
          <w:p w14:paraId="75F1CD92" w14:textId="72ED316D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$1.50</w:t>
            </w:r>
          </w:p>
        </w:tc>
        <w:tc>
          <w:tcPr>
            <w:tcW w:w="1604" w:type="dxa"/>
          </w:tcPr>
          <w:p w14:paraId="58685DB0" w14:textId="108E17A4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$750.00</w:t>
            </w:r>
          </w:p>
        </w:tc>
      </w:tr>
      <w:tr w:rsidR="00186F85" w:rsidRPr="00E61BF0" w14:paraId="533E891C" w14:textId="77777777" w:rsidTr="00186F85">
        <w:tc>
          <w:tcPr>
            <w:tcW w:w="1393" w:type="dxa"/>
          </w:tcPr>
          <w:p w14:paraId="0B40A607" w14:textId="120A2D45" w:rsidR="00186F85" w:rsidRPr="00E61BF0" w:rsidRDefault="00186F85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Cable TV</w:t>
            </w:r>
          </w:p>
        </w:tc>
        <w:tc>
          <w:tcPr>
            <w:tcW w:w="1634" w:type="dxa"/>
          </w:tcPr>
          <w:p w14:paraId="254F1466" w14:textId="1146D500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12 months</w:t>
            </w:r>
          </w:p>
        </w:tc>
        <w:tc>
          <w:tcPr>
            <w:tcW w:w="1534" w:type="dxa"/>
          </w:tcPr>
          <w:p w14:paraId="65CE4207" w14:textId="362D9791" w:rsidR="00186F85" w:rsidRPr="00E61BF0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$30/month</w:t>
            </w:r>
          </w:p>
        </w:tc>
        <w:tc>
          <w:tcPr>
            <w:tcW w:w="1581" w:type="dxa"/>
          </w:tcPr>
          <w:p w14:paraId="34C7F07E" w14:textId="0E1C56DE" w:rsidR="00186F85" w:rsidRPr="00E61BF0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$360.00</w:t>
            </w:r>
          </w:p>
        </w:tc>
        <w:tc>
          <w:tcPr>
            <w:tcW w:w="1604" w:type="dxa"/>
          </w:tcPr>
          <w:p w14:paraId="7561E577" w14:textId="703D372C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$30.00</w:t>
            </w:r>
          </w:p>
        </w:tc>
        <w:tc>
          <w:tcPr>
            <w:tcW w:w="1604" w:type="dxa"/>
          </w:tcPr>
          <w:p w14:paraId="47AD0250" w14:textId="777A797C" w:rsidR="00186F85" w:rsidRPr="00E61BF0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$360.00</w:t>
            </w:r>
          </w:p>
        </w:tc>
      </w:tr>
      <w:tr w:rsidR="00025816" w:rsidRPr="00E61BF0" w14:paraId="645117FB" w14:textId="77777777" w:rsidTr="00186F85">
        <w:tc>
          <w:tcPr>
            <w:tcW w:w="1393" w:type="dxa"/>
          </w:tcPr>
          <w:p w14:paraId="78CFA29F" w14:textId="77777777" w:rsidR="00025816" w:rsidRDefault="00025816" w:rsidP="00702222">
            <w:pPr>
              <w:spacing w:after="0" w:line="240" w:lineRule="auto"/>
              <w:rPr>
                <w:color w:val="ED7D31" w:themeColor="accent2"/>
              </w:rPr>
            </w:pPr>
          </w:p>
        </w:tc>
        <w:tc>
          <w:tcPr>
            <w:tcW w:w="1634" w:type="dxa"/>
          </w:tcPr>
          <w:p w14:paraId="509EB11C" w14:textId="77777777" w:rsidR="00025816" w:rsidRDefault="00025816" w:rsidP="00702222">
            <w:pPr>
              <w:spacing w:after="0" w:line="240" w:lineRule="auto"/>
              <w:rPr>
                <w:color w:val="ED7D31" w:themeColor="accent2"/>
              </w:rPr>
            </w:pPr>
          </w:p>
        </w:tc>
        <w:tc>
          <w:tcPr>
            <w:tcW w:w="1534" w:type="dxa"/>
          </w:tcPr>
          <w:p w14:paraId="72FD690B" w14:textId="77777777" w:rsidR="00025816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</w:p>
        </w:tc>
        <w:tc>
          <w:tcPr>
            <w:tcW w:w="1581" w:type="dxa"/>
          </w:tcPr>
          <w:p w14:paraId="7EB3BE15" w14:textId="1611E8A7" w:rsidR="00025816" w:rsidRDefault="00025816" w:rsidP="00702222">
            <w:pPr>
              <w:spacing w:after="0" w:line="240" w:lineRule="auto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$1,184.50</w:t>
            </w:r>
          </w:p>
        </w:tc>
        <w:tc>
          <w:tcPr>
            <w:tcW w:w="1604" w:type="dxa"/>
          </w:tcPr>
          <w:p w14:paraId="50902BD5" w14:textId="77777777" w:rsidR="00025816" w:rsidRDefault="00025816" w:rsidP="00702222">
            <w:pPr>
              <w:spacing w:after="0" w:line="240" w:lineRule="auto"/>
              <w:rPr>
                <w:color w:val="ED7D31" w:themeColor="accent2"/>
              </w:rPr>
            </w:pPr>
          </w:p>
        </w:tc>
        <w:tc>
          <w:tcPr>
            <w:tcW w:w="1604" w:type="dxa"/>
          </w:tcPr>
          <w:p w14:paraId="45EE5C20" w14:textId="297ED645" w:rsidR="00025816" w:rsidRDefault="00025816" w:rsidP="00702222">
            <w:pPr>
              <w:spacing w:after="0" w:line="240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$1,398.35</w:t>
            </w:r>
          </w:p>
        </w:tc>
      </w:tr>
    </w:tbl>
    <w:p w14:paraId="3F717BA1" w14:textId="77777777" w:rsidR="00186F85" w:rsidRDefault="00186F85" w:rsidP="00E61BF0">
      <w:pPr>
        <w:spacing w:line="240" w:lineRule="auto"/>
      </w:pPr>
    </w:p>
    <w:p w14:paraId="09350CD2" w14:textId="77777777" w:rsidR="005A0E7E" w:rsidRPr="00E61BF0" w:rsidRDefault="005A0E7E" w:rsidP="00E61BF0">
      <w:bookmarkStart w:id="0" w:name="_GoBack"/>
      <w:bookmarkEnd w:id="0"/>
    </w:p>
    <w:p w14:paraId="46C9BC6D" w14:textId="77777777" w:rsidR="00DA7027" w:rsidRPr="00E61BF0" w:rsidRDefault="00DA7027" w:rsidP="00E61BF0">
      <w:pPr>
        <w:jc w:val="center"/>
      </w:pPr>
      <w:r w:rsidRPr="00E61BF0">
        <w:t>References</w:t>
      </w:r>
      <w:r w:rsidR="00FC4606" w:rsidRPr="00E61BF0">
        <w:t>:</w:t>
      </w:r>
    </w:p>
    <w:p w14:paraId="133859F9" w14:textId="04275ED2" w:rsidR="00DA7027" w:rsidRPr="00E61BF0" w:rsidRDefault="00DA7027" w:rsidP="00E61BF0">
      <w:r w:rsidRPr="00E61BF0">
        <w:t xml:space="preserve">McEachern, W.A. (2015). </w:t>
      </w:r>
      <w:r w:rsidRPr="00E61BF0">
        <w:rPr>
          <w:i/>
        </w:rPr>
        <w:t xml:space="preserve">Principles of </w:t>
      </w:r>
      <w:r w:rsidR="00FC4606" w:rsidRPr="00E61BF0">
        <w:rPr>
          <w:i/>
        </w:rPr>
        <w:t>Macroeconomics</w:t>
      </w:r>
      <w:r w:rsidRPr="00E61BF0">
        <w:t>. Stamford, CT: Cengage Learning.</w:t>
      </w:r>
    </w:p>
    <w:sectPr w:rsidR="00DA7027" w:rsidRPr="00E61BF0" w:rsidSect="00F6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5F7"/>
    <w:multiLevelType w:val="hybridMultilevel"/>
    <w:tmpl w:val="82B26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EC4"/>
    <w:multiLevelType w:val="hybridMultilevel"/>
    <w:tmpl w:val="5C42E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32EC"/>
    <w:multiLevelType w:val="hybridMultilevel"/>
    <w:tmpl w:val="745C85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D4E"/>
    <w:multiLevelType w:val="hybridMultilevel"/>
    <w:tmpl w:val="C4AEB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2EED"/>
    <w:multiLevelType w:val="hybridMultilevel"/>
    <w:tmpl w:val="0F965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64B"/>
    <w:multiLevelType w:val="hybridMultilevel"/>
    <w:tmpl w:val="67EAE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0B93"/>
    <w:multiLevelType w:val="hybridMultilevel"/>
    <w:tmpl w:val="D916B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D71"/>
    <w:multiLevelType w:val="hybridMultilevel"/>
    <w:tmpl w:val="F338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D0641"/>
    <w:multiLevelType w:val="hybridMultilevel"/>
    <w:tmpl w:val="07C69A7A"/>
    <w:lvl w:ilvl="0" w:tplc="91D62E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41B90"/>
    <w:multiLevelType w:val="hybridMultilevel"/>
    <w:tmpl w:val="B9B4E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22F7"/>
    <w:multiLevelType w:val="hybridMultilevel"/>
    <w:tmpl w:val="4A0E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86B88"/>
    <w:multiLevelType w:val="hybridMultilevel"/>
    <w:tmpl w:val="18143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B"/>
    <w:rsid w:val="00025816"/>
    <w:rsid w:val="0006599D"/>
    <w:rsid w:val="000F09F9"/>
    <w:rsid w:val="00127BFC"/>
    <w:rsid w:val="00186F85"/>
    <w:rsid w:val="001A70E3"/>
    <w:rsid w:val="001E6AD4"/>
    <w:rsid w:val="002E341E"/>
    <w:rsid w:val="004569DB"/>
    <w:rsid w:val="004C2B4A"/>
    <w:rsid w:val="00553382"/>
    <w:rsid w:val="005A0E7E"/>
    <w:rsid w:val="006856C0"/>
    <w:rsid w:val="007813FA"/>
    <w:rsid w:val="00787FD0"/>
    <w:rsid w:val="007E1633"/>
    <w:rsid w:val="00803FDB"/>
    <w:rsid w:val="008A7BF9"/>
    <w:rsid w:val="008B0A24"/>
    <w:rsid w:val="008C20D6"/>
    <w:rsid w:val="008C276B"/>
    <w:rsid w:val="00926798"/>
    <w:rsid w:val="00936507"/>
    <w:rsid w:val="00964D95"/>
    <w:rsid w:val="00974FC6"/>
    <w:rsid w:val="009C1FAA"/>
    <w:rsid w:val="009D7BDD"/>
    <w:rsid w:val="009F4364"/>
    <w:rsid w:val="00BD2885"/>
    <w:rsid w:val="00BD5BA0"/>
    <w:rsid w:val="00BE583E"/>
    <w:rsid w:val="00C3012D"/>
    <w:rsid w:val="00C8498E"/>
    <w:rsid w:val="00CA38CF"/>
    <w:rsid w:val="00CE661E"/>
    <w:rsid w:val="00D00B1F"/>
    <w:rsid w:val="00DA7027"/>
    <w:rsid w:val="00E01B92"/>
    <w:rsid w:val="00E61BF0"/>
    <w:rsid w:val="00F24BC7"/>
    <w:rsid w:val="00F62755"/>
    <w:rsid w:val="00F7078E"/>
    <w:rsid w:val="00FC228B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6CEC"/>
  <w15:chartTrackingRefBased/>
  <w15:docId w15:val="{DE0DE8B6-BC73-6E48-8619-B396906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DB"/>
    <w:pPr>
      <w:ind w:left="720"/>
      <w:contextualSpacing/>
    </w:pPr>
  </w:style>
  <w:style w:type="table" w:styleId="TableGrid">
    <w:name w:val="Table Grid"/>
    <w:basedOn w:val="TableNormal"/>
    <w:uiPriority w:val="39"/>
    <w:rsid w:val="0097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583E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71AE6C-D8C6-044C-86B0-6759F60B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Tovar</dc:creator>
  <cp:keywords/>
  <dc:description/>
  <cp:lastModifiedBy>Travis Tovar</cp:lastModifiedBy>
  <cp:revision>3</cp:revision>
  <dcterms:created xsi:type="dcterms:W3CDTF">2018-10-28T19:53:00Z</dcterms:created>
  <dcterms:modified xsi:type="dcterms:W3CDTF">2018-10-28T19:54:00Z</dcterms:modified>
</cp:coreProperties>
</file>