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C8" w:rsidRDefault="005671BA" w:rsidP="00AD05AA">
      <w:pPr>
        <w:spacing w:after="0"/>
        <w:rPr>
          <w:rFonts w:ascii="Arial" w:hAnsi="Arial" w:cs="Arial"/>
        </w:rPr>
      </w:pPr>
    </w:p>
    <w:p w:rsidR="00AD05AA" w:rsidRDefault="00AD05AA" w:rsidP="00AD05AA">
      <w:pPr>
        <w:spacing w:after="0"/>
        <w:rPr>
          <w:rFonts w:ascii="Arial" w:hAnsi="Arial" w:cs="Arial"/>
        </w:rPr>
      </w:pPr>
    </w:p>
    <w:p w:rsidR="00AD05AA" w:rsidRDefault="00AD05AA" w:rsidP="00AD05A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1036"/>
        <w:gridCol w:w="1180"/>
        <w:gridCol w:w="1080"/>
        <w:gridCol w:w="720"/>
        <w:gridCol w:w="900"/>
        <w:gridCol w:w="990"/>
        <w:gridCol w:w="990"/>
        <w:gridCol w:w="990"/>
        <w:gridCol w:w="990"/>
        <w:gridCol w:w="1440"/>
      </w:tblGrid>
      <w:tr w:rsidR="00AD05AA" w:rsidTr="001B31D1">
        <w:tc>
          <w:tcPr>
            <w:tcW w:w="772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036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Shares</w:t>
            </w:r>
          </w:p>
        </w:tc>
        <w:tc>
          <w:tcPr>
            <w:tcW w:w="11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FMV</w:t>
            </w:r>
          </w:p>
        </w:tc>
        <w:tc>
          <w:tcPr>
            <w:tcW w:w="10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Dividend</w:t>
            </w:r>
          </w:p>
        </w:tc>
        <w:tc>
          <w:tcPr>
            <w:tcW w:w="72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  <w:tc>
          <w:tcPr>
            <w:tcW w:w="90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Basis</w:t>
            </w:r>
          </w:p>
        </w:tc>
        <w:tc>
          <w:tcPr>
            <w:tcW w:w="99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returns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99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returns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99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returns 2011</w:t>
            </w:r>
          </w:p>
        </w:tc>
        <w:tc>
          <w:tcPr>
            <w:tcW w:w="99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returns 2012</w:t>
            </w:r>
          </w:p>
        </w:tc>
        <w:tc>
          <w:tcPr>
            <w:tcW w:w="144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returns 2013</w:t>
            </w:r>
          </w:p>
        </w:tc>
      </w:tr>
      <w:tr w:rsidR="00AD05AA" w:rsidTr="001B31D1">
        <w:tc>
          <w:tcPr>
            <w:tcW w:w="772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10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72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90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19,150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D05AA" w:rsidTr="001B31D1">
        <w:tc>
          <w:tcPr>
            <w:tcW w:w="772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75,000</w:t>
            </w:r>
          </w:p>
        </w:tc>
        <w:tc>
          <w:tcPr>
            <w:tcW w:w="10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72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</w:t>
            </w:r>
          </w:p>
        </w:tc>
        <w:tc>
          <w:tcPr>
            <w:tcW w:w="90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52,452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D05AA" w:rsidTr="001B31D1">
        <w:tc>
          <w:tcPr>
            <w:tcW w:w="772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  <w:tc>
          <w:tcPr>
            <w:tcW w:w="10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72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  <w:tc>
          <w:tcPr>
            <w:tcW w:w="90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43,187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D05AA" w:rsidTr="001B31D1">
        <w:tc>
          <w:tcPr>
            <w:tcW w:w="772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08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720" w:type="dxa"/>
          </w:tcPr>
          <w:p w:rsidR="00AD05AA" w:rsidRDefault="00AD05AA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90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23,389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:rsidR="00AD05AA" w:rsidRDefault="001B31D1" w:rsidP="001B3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D05AA" w:rsidTr="001B31D1">
        <w:tc>
          <w:tcPr>
            <w:tcW w:w="772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D05AA" w:rsidRDefault="00AD05AA" w:rsidP="00AD05AA">
            <w:pPr>
              <w:rPr>
                <w:rFonts w:ascii="Arial" w:hAnsi="Arial" w:cs="Arial"/>
              </w:rPr>
            </w:pPr>
          </w:p>
        </w:tc>
      </w:tr>
    </w:tbl>
    <w:p w:rsidR="00AD05AA" w:rsidRDefault="001B31D1" w:rsidP="00AD05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coefficient of correlation between the market and the stock portfolio is 0.7% over the past 5 years.  The market has yielded a geometric return of 6.8%</w:t>
      </w:r>
    </w:p>
    <w:p w:rsidR="00BA4A63" w:rsidRDefault="00BA4A63" w:rsidP="00AD05AA">
      <w:pPr>
        <w:spacing w:after="0"/>
        <w:rPr>
          <w:rFonts w:ascii="Arial" w:hAnsi="Arial" w:cs="Arial"/>
        </w:rPr>
      </w:pPr>
    </w:p>
    <w:p w:rsidR="00BA4A63" w:rsidRPr="00AD05AA" w:rsidRDefault="00BA4A63" w:rsidP="00AD05AA">
      <w:pPr>
        <w:spacing w:after="0"/>
        <w:rPr>
          <w:rFonts w:ascii="Arial" w:hAnsi="Arial" w:cs="Arial"/>
        </w:rPr>
      </w:pPr>
      <w:r w:rsidRPr="00BA4A63">
        <w:rPr>
          <w:rFonts w:ascii="Arial" w:hAnsi="Arial" w:cs="Arial"/>
        </w:rPr>
        <w:t xml:space="preserve">I'd like to see what the either the Sharpe Ratio is, or the </w:t>
      </w:r>
      <w:proofErr w:type="spellStart"/>
      <w:r w:rsidRPr="00BA4A63">
        <w:rPr>
          <w:rFonts w:ascii="Arial" w:hAnsi="Arial" w:cs="Arial"/>
        </w:rPr>
        <w:t>Treynor</w:t>
      </w:r>
      <w:proofErr w:type="spellEnd"/>
      <w:r w:rsidRPr="00BA4A63">
        <w:rPr>
          <w:rFonts w:ascii="Arial" w:hAnsi="Arial" w:cs="Arial"/>
        </w:rPr>
        <w:t xml:space="preserve"> Ratio.  I'd like it in spreadsheet form as well.  I'd also like to see which would be the best stock to sell...Do I look at recent returns or do I look at Tax basis and why?</w:t>
      </w:r>
    </w:p>
    <w:sectPr w:rsidR="00BA4A63" w:rsidRPr="00AD05AA" w:rsidSect="00AD05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A"/>
    <w:rsid w:val="001B31D1"/>
    <w:rsid w:val="0043327F"/>
    <w:rsid w:val="005671BA"/>
    <w:rsid w:val="006313AF"/>
    <w:rsid w:val="00761E8B"/>
    <w:rsid w:val="009C307F"/>
    <w:rsid w:val="00AD05AA"/>
    <w:rsid w:val="00BA4A63"/>
    <w:rsid w:val="00D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4</cp:revision>
  <dcterms:created xsi:type="dcterms:W3CDTF">2015-02-28T03:02:00Z</dcterms:created>
  <dcterms:modified xsi:type="dcterms:W3CDTF">2015-02-28T03:07:00Z</dcterms:modified>
</cp:coreProperties>
</file>