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D" w:rsidRDefault="005A73AD" w:rsidP="005A73AD">
      <w:r>
        <w:t>According to Wooldridge equation (15.13) the a</w:t>
      </w:r>
      <w:r>
        <w:t xml:space="preserve">symptotic variance of the IV estimator for </w:t>
      </w:r>
      <w:r>
        <w:rPr>
          <w:position w:val="-10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9pt" o:ole="">
            <v:imagedata r:id="rId5" o:title=""/>
          </v:shape>
          <o:OLEObject Type="Embed" ProgID="Equation.3" ShapeID="_x0000_i1025" DrawAspect="Content" ObjectID="_1303726431" r:id="rId6"/>
        </w:object>
      </w:r>
      <w:r>
        <w:t xml:space="preserve"> in the simple regression case:</w:t>
      </w:r>
    </w:p>
    <w:p w:rsidR="005A73AD" w:rsidRDefault="005A73AD" w:rsidP="005A73AD">
      <w:pPr>
        <w:ind w:left="720"/>
      </w:pPr>
      <w:r>
        <w:rPr>
          <w:position w:val="-32"/>
        </w:rPr>
        <w:object w:dxaOrig="960" w:dyaOrig="740">
          <v:shape id="_x0000_i1026" type="#_x0000_t75" style="width:48pt;height:37pt" o:ole="">
            <v:imagedata r:id="rId7" o:title=""/>
          </v:shape>
          <o:OLEObject Type="Embed" ProgID="Equation.3" ShapeID="_x0000_i1026" DrawAspect="Content" ObjectID="_1303726432" r:id="rId8"/>
        </w:object>
      </w:r>
    </w:p>
    <w:p w:rsidR="005A73AD" w:rsidRDefault="005A73AD" w:rsidP="005A73AD">
      <w:r>
        <w:t>Also, equation (15.43) g</w:t>
      </w:r>
      <w:r>
        <w:t xml:space="preserve">ives the asymptotic variance of the IV estimator for </w:t>
      </w:r>
      <w:r>
        <w:rPr>
          <w:position w:val="-10"/>
        </w:rPr>
        <w:object w:dxaOrig="279" w:dyaOrig="380">
          <v:shape id="_x0000_i1029" type="#_x0000_t75" style="width:14pt;height:19pt" o:ole="">
            <v:imagedata r:id="rId9" o:title=""/>
          </v:shape>
          <o:OLEObject Type="Embed" ProgID="Equation.3" ShapeID="_x0000_i1029" DrawAspect="Content" ObjectID="_1303726433" r:id="rId10"/>
        </w:object>
      </w:r>
      <w:r>
        <w:t xml:space="preserve"> in the multiple regression case:</w:t>
      </w:r>
    </w:p>
    <w:p w:rsidR="005A73AD" w:rsidRDefault="005A73AD" w:rsidP="005A73AD">
      <w:pPr>
        <w:ind w:left="720"/>
      </w:pPr>
      <w:r>
        <w:rPr>
          <w:position w:val="-32"/>
        </w:rPr>
        <w:object w:dxaOrig="1340" w:dyaOrig="740">
          <v:shape id="_x0000_i1030" type="#_x0000_t75" style="width:67pt;height:37pt" o:ole="">
            <v:imagedata r:id="rId11" o:title=""/>
          </v:shape>
          <o:OLEObject Type="Embed" ProgID="Equation.3" ShapeID="_x0000_i1030" DrawAspect="Content" ObjectID="_1303726434" r:id="rId12"/>
        </w:object>
      </w:r>
    </w:p>
    <w:p w:rsidR="005A73AD" w:rsidRDefault="005A73AD" w:rsidP="005A73AD">
      <w:pPr>
        <w:ind w:left="720"/>
      </w:pPr>
      <w:bookmarkStart w:id="0" w:name="_GoBack"/>
      <w:bookmarkEnd w:id="0"/>
    </w:p>
    <w:p w:rsidR="00846707" w:rsidRDefault="005A73AD">
      <w:r>
        <w:t>My question is, is</w:t>
      </w:r>
      <w:r>
        <w:t xml:space="preserve"> 15.13 a special case of 15.43</w:t>
      </w:r>
      <w:r>
        <w:t>? Please explain precisely, that is why is or is not a special case?</w:t>
      </w:r>
    </w:p>
    <w:sectPr w:rsidR="00846707" w:rsidSect="00846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AD"/>
    <w:rsid w:val="005A73AD"/>
    <w:rsid w:val="008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D7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D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D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Virginia Commonwealth University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Aljiran</dc:creator>
  <cp:keywords/>
  <dc:description/>
  <cp:lastModifiedBy>Abdulaziz Aljiran</cp:lastModifiedBy>
  <cp:revision>1</cp:revision>
  <dcterms:created xsi:type="dcterms:W3CDTF">2013-05-12T17:25:00Z</dcterms:created>
  <dcterms:modified xsi:type="dcterms:W3CDTF">2013-05-12T17:27:00Z</dcterms:modified>
</cp:coreProperties>
</file>