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38422" w14:textId="77777777" w:rsidR="00611254" w:rsidRPr="00611254" w:rsidRDefault="00611254" w:rsidP="00611254">
      <w:pPr>
        <w:pStyle w:val="Default"/>
        <w:rPr>
          <w:rFonts w:ascii="Times" w:hAnsi="Times"/>
        </w:rPr>
      </w:pPr>
    </w:p>
    <w:p w14:paraId="0C70EC6A" w14:textId="77777777" w:rsidR="00611254" w:rsidRDefault="00611254" w:rsidP="00611254">
      <w:pPr>
        <w:pStyle w:val="Default"/>
        <w:rPr>
          <w:rFonts w:ascii="Times" w:hAnsi="Times"/>
        </w:rPr>
      </w:pPr>
      <w:r w:rsidRPr="00611254">
        <w:rPr>
          <w:rFonts w:ascii="Times" w:hAnsi="Times"/>
        </w:rPr>
        <w:t xml:space="preserve"> </w:t>
      </w:r>
      <w:r>
        <w:rPr>
          <w:rFonts w:ascii="Times" w:hAnsi="Times"/>
        </w:rPr>
        <w:t xml:space="preserve">6.)  </w:t>
      </w:r>
      <w:r w:rsidRPr="00611254">
        <w:rPr>
          <w:rFonts w:ascii="Times" w:hAnsi="Times"/>
        </w:rPr>
        <w:t xml:space="preserve">“7x50” binoculars magnify angles by a factor of 7.0, and their objective lenses have an aperture of 50 mm diameter. </w:t>
      </w:r>
    </w:p>
    <w:p w14:paraId="632A4CE3" w14:textId="77777777" w:rsidR="00611254" w:rsidRPr="00611254" w:rsidRDefault="00611254" w:rsidP="00611254">
      <w:pPr>
        <w:pStyle w:val="Default"/>
        <w:rPr>
          <w:rFonts w:ascii="Times" w:hAnsi="Times"/>
        </w:rPr>
      </w:pPr>
    </w:p>
    <w:p w14:paraId="68D48B03" w14:textId="77777777" w:rsidR="00611254" w:rsidRDefault="00611254" w:rsidP="00611254">
      <w:pPr>
        <w:pStyle w:val="Default"/>
        <w:spacing w:after="58"/>
        <w:rPr>
          <w:rFonts w:ascii="Times" w:hAnsi="Times"/>
        </w:rPr>
      </w:pPr>
      <w:r w:rsidRPr="00611254">
        <w:rPr>
          <w:rFonts w:ascii="Times" w:hAnsi="Times"/>
        </w:rPr>
        <w:t>(a) According to Rayleigh’s criterion, what is the intrins</w:t>
      </w:r>
      <w:r>
        <w:rPr>
          <w:rFonts w:ascii="Times" w:hAnsi="Times"/>
        </w:rPr>
        <w:t>ic angular resolution of these b</w:t>
      </w:r>
      <w:r w:rsidRPr="00611254">
        <w:rPr>
          <w:rFonts w:ascii="Times" w:hAnsi="Times"/>
        </w:rPr>
        <w:t xml:space="preserve">inoculars? Assume that the light have a wavelength of 500 nm. </w:t>
      </w:r>
    </w:p>
    <w:p w14:paraId="3CE5D72B" w14:textId="77777777" w:rsidR="00611254" w:rsidRPr="00611254" w:rsidRDefault="00611254" w:rsidP="00611254">
      <w:pPr>
        <w:pStyle w:val="Default"/>
        <w:spacing w:after="58"/>
        <w:rPr>
          <w:rFonts w:ascii="Times" w:hAnsi="Times"/>
        </w:rPr>
      </w:pPr>
    </w:p>
    <w:p w14:paraId="587C67BC" w14:textId="77777777" w:rsidR="00611254" w:rsidRDefault="00611254" w:rsidP="00611254">
      <w:pPr>
        <w:pStyle w:val="Default"/>
        <w:rPr>
          <w:rFonts w:ascii="Times" w:hAnsi="Times"/>
        </w:rPr>
      </w:pPr>
      <w:r w:rsidRPr="00611254">
        <w:rPr>
          <w:rFonts w:ascii="Times" w:hAnsi="Times"/>
        </w:rPr>
        <w:t xml:space="preserve">(b) At best, the pupil of your eye has an aperture of 7.0 mm diameter. Compare the angular resolution of your eye divided by a factor of 7.0 with the intrinsic angular resolution of the binoculars. Which of the two numbers determines the actual angular resolution you can achieve while looking through the binoculars </w:t>
      </w:r>
    </w:p>
    <w:p w14:paraId="37A46C57" w14:textId="77777777" w:rsidR="00611254" w:rsidRDefault="00611254" w:rsidP="00611254">
      <w:pPr>
        <w:pStyle w:val="Default"/>
        <w:rPr>
          <w:rFonts w:ascii="Times" w:hAnsi="Times"/>
        </w:rPr>
      </w:pPr>
    </w:p>
    <w:p w14:paraId="39DD25AA" w14:textId="77777777" w:rsidR="00611254" w:rsidRDefault="00611254" w:rsidP="00611254">
      <w:pPr>
        <w:pStyle w:val="Default"/>
        <w:rPr>
          <w:rFonts w:ascii="Times" w:hAnsi="Times"/>
        </w:rPr>
      </w:pPr>
    </w:p>
    <w:p w14:paraId="73FABF59" w14:textId="77777777" w:rsidR="00611254" w:rsidRDefault="00611254" w:rsidP="00611254">
      <w:pPr>
        <w:pStyle w:val="Default"/>
        <w:rPr>
          <w:rFonts w:ascii="Times" w:hAnsi="Times"/>
        </w:rPr>
      </w:pPr>
      <w:r>
        <w:rPr>
          <w:rFonts w:ascii="Times" w:hAnsi="Times"/>
        </w:rPr>
        <w:t xml:space="preserve">10.) </w:t>
      </w:r>
      <w:r w:rsidRPr="00611254">
        <w:rPr>
          <w:rFonts w:ascii="Times" w:hAnsi="Times"/>
        </w:rPr>
        <w:t xml:space="preserve">A Newton’s ring apparatus consists of a lens with one flat surface and one convex surface rests on a flat plate of glass (Fig. 35-45a). A light ray normally incident on the lens will be partially reflected by the curved surface of the lens and partially reflected by the flat plate of glass. The interference between these reflected rays will be constructive or destructive, depending on the height of the air gap between the lens and the plate. The interference gives rise to the pattern of Newton’s rings, shown in Fig. 35-45b. </w:t>
      </w:r>
    </w:p>
    <w:p w14:paraId="758BBC4E" w14:textId="77777777" w:rsidR="00611254" w:rsidRPr="00611254" w:rsidRDefault="00611254" w:rsidP="00611254">
      <w:pPr>
        <w:pStyle w:val="Default"/>
      </w:pPr>
    </w:p>
    <w:p w14:paraId="0CC3E9A9" w14:textId="77777777" w:rsidR="00611254" w:rsidRPr="00611254" w:rsidRDefault="00611254" w:rsidP="00611254">
      <w:pPr>
        <w:pStyle w:val="Default"/>
        <w:spacing w:after="16"/>
        <w:rPr>
          <w:rFonts w:ascii="Times" w:hAnsi="Times"/>
        </w:rPr>
      </w:pPr>
      <w:r w:rsidRPr="00611254">
        <w:rPr>
          <w:rFonts w:ascii="Times" w:hAnsi="Times"/>
        </w:rPr>
        <w:t xml:space="preserve">(a) Why is the center of the pattern dark? </w:t>
      </w:r>
    </w:p>
    <w:p w14:paraId="52E7AC78" w14:textId="77777777" w:rsidR="00611254" w:rsidRPr="00611254" w:rsidRDefault="00611254" w:rsidP="00611254">
      <w:pPr>
        <w:pStyle w:val="Default"/>
        <w:rPr>
          <w:rFonts w:ascii="Times" w:hAnsi="Times"/>
        </w:rPr>
      </w:pPr>
      <w:r w:rsidRPr="00611254">
        <w:rPr>
          <w:rFonts w:ascii="Times" w:hAnsi="Times"/>
        </w:rPr>
        <w:t xml:space="preserve">(b) Show that the radius of the </w:t>
      </w:r>
      <w:proofErr w:type="spellStart"/>
      <w:r w:rsidRPr="00611254">
        <w:rPr>
          <w:rFonts w:ascii="Times" w:hAnsi="Times"/>
          <w:i/>
          <w:iCs/>
        </w:rPr>
        <w:t>m</w:t>
      </w:r>
      <w:r w:rsidRPr="00611254">
        <w:rPr>
          <w:rFonts w:ascii="Times" w:hAnsi="Times"/>
          <w:vertAlign w:val="superscript"/>
        </w:rPr>
        <w:t>th</w:t>
      </w:r>
      <w:proofErr w:type="spellEnd"/>
      <w:r w:rsidRPr="00611254">
        <w:rPr>
          <w:rFonts w:ascii="Times" w:hAnsi="Times"/>
        </w:rPr>
        <w:t xml:space="preserve"> dark ring is </w:t>
      </w:r>
    </w:p>
    <w:p w14:paraId="1CD05AA7" w14:textId="77777777" w:rsidR="00611254" w:rsidRPr="00611254" w:rsidRDefault="00611254" w:rsidP="00611254">
      <w:pPr>
        <w:pStyle w:val="Default"/>
        <w:jc w:val="center"/>
        <w:rPr>
          <w:rFonts w:ascii="Times" w:hAnsi="Times" w:cs="Cambria Math"/>
        </w:rPr>
      </w:pPr>
      <m:oMathPara>
        <m:oMath>
          <m:r>
            <w:rPr>
              <w:rFonts w:ascii="Cambria Math" w:hAnsi="Cambria Math" w:cs="Cambria Math"/>
            </w:rPr>
            <m:t xml:space="preserve">r= </m:t>
          </m:r>
          <m:rad>
            <m:radPr>
              <m:degHide m:val="1"/>
              <m:ctrlPr>
                <w:rPr>
                  <w:rFonts w:ascii="Cambria Math" w:hAnsi="Cambria Math" w:cs="Cambria Math"/>
                  <w:i/>
                </w:rPr>
              </m:ctrlPr>
            </m:radPr>
            <m:deg/>
            <m:e>
              <m:r>
                <w:rPr>
                  <w:rFonts w:ascii="Cambria Math" w:hAnsi="Cambria Math" w:cs="Cambria Math"/>
                </w:rPr>
                <m:t>mλR-</m:t>
              </m:r>
              <m:sSup>
                <m:sSupPr>
                  <m:ctrlPr>
                    <w:rPr>
                      <w:rFonts w:ascii="Cambria Math" w:hAnsi="Cambria Math" w:cs="Cambria Math"/>
                      <w:i/>
                    </w:rPr>
                  </m:ctrlPr>
                </m:sSupPr>
                <m:e>
                  <m:r>
                    <w:rPr>
                      <w:rFonts w:ascii="Cambria Math" w:hAnsi="Cambria Math" w:cs="Cambria Math"/>
                    </w:rPr>
                    <m:t>m</m:t>
                  </m:r>
                </m:e>
                <m:sup>
                  <m:r>
                    <w:rPr>
                      <w:rFonts w:ascii="Cambria Math" w:hAnsi="Cambria Math" w:cs="Cambria Math"/>
                    </w:rPr>
                    <m:t>2</m:t>
                  </m:r>
                </m:sup>
              </m:sSup>
              <m:sSup>
                <m:sSupPr>
                  <m:ctrlPr>
                    <w:rPr>
                      <w:rFonts w:ascii="Cambria Math" w:hAnsi="Cambria Math" w:cs="Cambria Math"/>
                      <w:i/>
                    </w:rPr>
                  </m:ctrlPr>
                </m:sSupPr>
                <m:e>
                  <m:r>
                    <w:rPr>
                      <w:rFonts w:ascii="Cambria Math" w:hAnsi="Cambria Math" w:cs="Cambria Math"/>
                    </w:rPr>
                    <m:t>λ</m:t>
                  </m:r>
                </m:e>
                <m:sup>
                  <m:r>
                    <w:rPr>
                      <w:rFonts w:ascii="Cambria Math" w:hAnsi="Cambria Math" w:cs="Cambria Math"/>
                    </w:rPr>
                    <m:t>2</m:t>
                  </m:r>
                </m:sup>
              </m:sSup>
              <m:r>
                <w:rPr>
                  <w:rFonts w:ascii="Cambria Math" w:hAnsi="Cambria Math" w:cs="Cambria Math"/>
                </w:rPr>
                <m:t>/4</m:t>
              </m:r>
            </m:e>
          </m:rad>
        </m:oMath>
      </m:oMathPara>
    </w:p>
    <w:p w14:paraId="00327118" w14:textId="77777777" w:rsidR="00611254" w:rsidRPr="00611254" w:rsidRDefault="00611254" w:rsidP="00611254">
      <w:pPr>
        <w:pStyle w:val="Default"/>
        <w:rPr>
          <w:rFonts w:ascii="Times" w:hAnsi="Times"/>
        </w:rPr>
      </w:pPr>
      <w:proofErr w:type="gramStart"/>
      <w:r>
        <w:rPr>
          <w:rFonts w:ascii="Times" w:hAnsi="Times"/>
        </w:rPr>
        <w:t>where</w:t>
      </w:r>
      <w:proofErr w:type="gramEnd"/>
      <w:r>
        <w:rPr>
          <w:rFonts w:ascii="Times" w:hAnsi="Times"/>
        </w:rPr>
        <w:t xml:space="preserve"> </w:t>
      </w:r>
      <m:oMath>
        <m:r>
          <w:rPr>
            <w:rFonts w:ascii="Cambria Math" w:hAnsi="Cambria Math" w:cs="Cambria Math"/>
          </w:rPr>
          <m:t>λ</m:t>
        </m:r>
        <m:r>
          <w:rPr>
            <w:rFonts w:ascii="Cambria Math" w:hAnsi="Cambria Math" w:cs="Cambria Math"/>
          </w:rPr>
          <m:t xml:space="preserve"> </m:t>
        </m:r>
      </m:oMath>
      <w:r w:rsidRPr="00611254">
        <w:rPr>
          <w:rFonts w:ascii="Times" w:hAnsi="Times"/>
        </w:rPr>
        <w:t xml:space="preserve">is the wavelength of the light and </w:t>
      </w:r>
      <w:r w:rsidRPr="00611254">
        <w:rPr>
          <w:rFonts w:ascii="Times" w:hAnsi="Times"/>
          <w:i/>
          <w:iCs/>
        </w:rPr>
        <w:t xml:space="preserve">R </w:t>
      </w:r>
      <w:r w:rsidRPr="00611254">
        <w:rPr>
          <w:rFonts w:ascii="Times" w:hAnsi="Times"/>
        </w:rPr>
        <w:t xml:space="preserve">is the radius of curvature of the convex surface of the lens. </w:t>
      </w:r>
    </w:p>
    <w:p w14:paraId="2A295094" w14:textId="77777777" w:rsidR="00611254" w:rsidRDefault="00611254" w:rsidP="00611254">
      <w:pPr>
        <w:pStyle w:val="Default"/>
        <w:rPr>
          <w:rFonts w:ascii="Times" w:hAnsi="Times"/>
        </w:rPr>
      </w:pPr>
      <w:r w:rsidRPr="00611254">
        <w:rPr>
          <w:rFonts w:ascii="Times" w:hAnsi="Times"/>
        </w:rPr>
        <w:t>(c) What is the radi</w:t>
      </w:r>
      <w:r>
        <w:rPr>
          <w:rFonts w:ascii="Times" w:hAnsi="Times"/>
        </w:rPr>
        <w:t xml:space="preserve">us of the first dark ring if </w:t>
      </w:r>
      <m:oMath>
        <m:r>
          <w:rPr>
            <w:rFonts w:ascii="Cambria Math" w:hAnsi="Cambria Math" w:cs="Cambria Math"/>
          </w:rPr>
          <m:t>λ</m:t>
        </m:r>
      </m:oMath>
      <w:r w:rsidRPr="00611254">
        <w:rPr>
          <w:rFonts w:ascii="Times" w:hAnsi="Times"/>
        </w:rPr>
        <w:t xml:space="preserve">= 500 nm and R = 3.0 m? </w:t>
      </w:r>
    </w:p>
    <w:p w14:paraId="0E0513B7" w14:textId="77777777" w:rsidR="009F6700" w:rsidRDefault="009F6700" w:rsidP="00611254">
      <w:pPr>
        <w:pStyle w:val="Default"/>
        <w:rPr>
          <w:rFonts w:ascii="Times" w:hAnsi="Times"/>
        </w:rPr>
      </w:pPr>
    </w:p>
    <w:p w14:paraId="73D1FC17" w14:textId="77777777" w:rsidR="009F6700" w:rsidRDefault="009F6700" w:rsidP="00611254">
      <w:pPr>
        <w:pStyle w:val="Default"/>
        <w:rPr>
          <w:rFonts w:ascii="Times" w:hAnsi="Times"/>
        </w:rPr>
      </w:pPr>
    </w:p>
    <w:tbl>
      <w:tblPr>
        <w:tblW w:w="5000" w:type="pct"/>
        <w:tblCellSpacing w:w="0" w:type="dxa"/>
        <w:tblCellMar>
          <w:left w:w="0" w:type="dxa"/>
          <w:right w:w="0" w:type="dxa"/>
        </w:tblCellMar>
        <w:tblLook w:val="04A0" w:firstRow="1" w:lastRow="0" w:firstColumn="1" w:lastColumn="0" w:noHBand="0" w:noVBand="1"/>
      </w:tblPr>
      <w:tblGrid>
        <w:gridCol w:w="401"/>
        <w:gridCol w:w="9469"/>
      </w:tblGrid>
      <w:tr w:rsidR="009F6700" w:rsidRPr="009F6700" w14:paraId="5F77ABCF" w14:textId="77777777" w:rsidTr="009F6700">
        <w:trPr>
          <w:tblCellSpacing w:w="0" w:type="dxa"/>
        </w:trPr>
        <w:tc>
          <w:tcPr>
            <w:tcW w:w="0" w:type="auto"/>
            <w:vAlign w:val="center"/>
            <w:hideMark/>
          </w:tcPr>
          <w:p w14:paraId="59C0E96D" w14:textId="77777777" w:rsidR="009F6700" w:rsidRPr="009F6700" w:rsidRDefault="009F6700" w:rsidP="009F6700">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0171DA30" wp14:editId="07CC1199">
                  <wp:extent cx="254000" cy="254000"/>
                  <wp:effectExtent l="0" t="0" r="0" b="0"/>
                  <wp:docPr id="1" name="Picture 1" descr="http://edugen.wileyplus.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gen.wileyplus.com/edugen/courses/crs4957/common/art/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880"/>
            </w:tblGrid>
            <w:tr w:rsidR="009F6700" w:rsidRPr="009F6700" w14:paraId="086F38DC" w14:textId="77777777">
              <w:trPr>
                <w:tblCellSpacing w:w="0" w:type="dxa"/>
                <w:jc w:val="center"/>
              </w:trPr>
              <w:tc>
                <w:tcPr>
                  <w:tcW w:w="0" w:type="auto"/>
                  <w:vAlign w:val="center"/>
                  <w:hideMark/>
                </w:tcPr>
                <w:p w14:paraId="58C7EA2A" w14:textId="77777777" w:rsidR="009F6700" w:rsidRPr="009F6700" w:rsidRDefault="009F6700" w:rsidP="009F6700">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ACBC9DD" wp14:editId="370BF9DE">
                        <wp:extent cx="12700" cy="76200"/>
                        <wp:effectExtent l="0" t="0" r="0" b="0"/>
                        <wp:docPr id="2" name="Picture 2" descr="http://edugen.wileyplus.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gen.wileyplus.com/edugen/courses/crs4957/common/art/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76200"/>
                                </a:xfrm>
                                <a:prstGeom prst="rect">
                                  <a:avLst/>
                                </a:prstGeom>
                                <a:noFill/>
                                <a:ln>
                                  <a:noFill/>
                                </a:ln>
                              </pic:spPr>
                            </pic:pic>
                          </a:graphicData>
                        </a:graphic>
                      </wp:inline>
                    </w:drawing>
                  </w:r>
                </w:p>
              </w:tc>
            </w:tr>
            <w:tr w:rsidR="009F6700" w:rsidRPr="009F6700" w14:paraId="22FEDF70" w14:textId="7777777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880"/>
                  </w:tblGrid>
                  <w:tr w:rsidR="009F6700" w:rsidRPr="009F6700" w14:paraId="31A1314F" w14:textId="7777777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880"/>
                        </w:tblGrid>
                        <w:tr w:rsidR="009F6700" w:rsidRPr="009F6700" w14:paraId="44CEBC97" w14:textId="77777777">
                          <w:trPr>
                            <w:tblCellSpacing w:w="0" w:type="dxa"/>
                            <w:jc w:val="center"/>
                          </w:trPr>
                          <w:tc>
                            <w:tcPr>
                              <w:tcW w:w="0" w:type="auto"/>
                              <w:vAlign w:val="center"/>
                              <w:hideMark/>
                            </w:tcPr>
                            <w:p w14:paraId="2DE4FD1B" w14:textId="77777777" w:rsidR="009F6700" w:rsidRPr="009F6700" w:rsidRDefault="009F6700" w:rsidP="009F6700">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17D7BE2" wp14:editId="26067CD2">
                                    <wp:extent cx="12700" cy="76200"/>
                                    <wp:effectExtent l="0" t="0" r="0" b="0"/>
                                    <wp:docPr id="3" name="Picture 3" descr="http://edugen.wileyplus.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gen.wileyplus.com/edugen/courses/crs4957/common/art/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76200"/>
                                            </a:xfrm>
                                            <a:prstGeom prst="rect">
                                              <a:avLst/>
                                            </a:prstGeom>
                                            <a:noFill/>
                                            <a:ln>
                                              <a:noFill/>
                                            </a:ln>
                                          </pic:spPr>
                                        </pic:pic>
                                      </a:graphicData>
                                    </a:graphic>
                                  </wp:inline>
                                </w:drawing>
                              </w:r>
                            </w:p>
                          </w:tc>
                        </w:tr>
                        <w:tr w:rsidR="009F6700" w:rsidRPr="009F6700" w14:paraId="7CA50E4A" w14:textId="77777777">
                          <w:trPr>
                            <w:tblCellSpacing w:w="0" w:type="dxa"/>
                            <w:jc w:val="center"/>
                          </w:trPr>
                          <w:tc>
                            <w:tcPr>
                              <w:tcW w:w="0" w:type="auto"/>
                              <w:hideMark/>
                            </w:tcPr>
                            <w:p w14:paraId="4A25C725" w14:textId="77777777" w:rsidR="009F6700" w:rsidRDefault="009F6700" w:rsidP="009F6700">
                              <w:pPr>
                                <w:jc w:val="center"/>
                                <w:rPr>
                                  <w:rFonts w:ascii="Times" w:eastAsia="Times New Roman" w:hAnsi="Times" w:cs="Times New Roman"/>
                                  <w:sz w:val="20"/>
                                  <w:szCs w:val="20"/>
                                </w:rPr>
                              </w:pPr>
                              <w:r>
                                <w:rPr>
                                  <w:rFonts w:ascii="Times" w:eastAsia="Times New Roman" w:hAnsi="Times" w:cs="Times New Roman"/>
                                  <w:noProof/>
                                  <w:sz w:val="20"/>
                                  <w:szCs w:val="20"/>
                                </w:rPr>
                                <w:lastRenderedPageBreak/>
                                <w:drawing>
                                  <wp:inline distT="0" distB="0" distL="0" distR="0" wp14:anchorId="61EF5775" wp14:editId="35FB152C">
                                    <wp:extent cx="4356100" cy="6134100"/>
                                    <wp:effectExtent l="0" t="0" r="12700" b="12700"/>
                                    <wp:docPr id="4" name="Picture 4" descr="http://edugen.wileyplus.com/edugen/courses/crs4957/halliday9118/halliday9088c35/image_n/nt0047-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gen.wileyplus.com/edugen/courses/crs4957/halliday9118/halliday9088c35/image_n/nt0047-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6100" cy="6134100"/>
                                            </a:xfrm>
                                            <a:prstGeom prst="rect">
                                              <a:avLst/>
                                            </a:prstGeom>
                                            <a:noFill/>
                                            <a:ln>
                                              <a:noFill/>
                                            </a:ln>
                                          </pic:spPr>
                                        </pic:pic>
                                      </a:graphicData>
                                    </a:graphic>
                                  </wp:inline>
                                </w:drawing>
                              </w:r>
                            </w:p>
                            <w:p w14:paraId="2655AB90" w14:textId="77777777" w:rsidR="009F6700" w:rsidRDefault="009F6700" w:rsidP="009F6700">
                              <w:pPr>
                                <w:jc w:val="center"/>
                                <w:rPr>
                                  <w:rFonts w:ascii="Times" w:eastAsia="Times New Roman" w:hAnsi="Times" w:cs="Times New Roman"/>
                                  <w:sz w:val="20"/>
                                  <w:szCs w:val="20"/>
                                </w:rPr>
                              </w:pPr>
                            </w:p>
                            <w:p w14:paraId="3FA373FA" w14:textId="77777777" w:rsidR="009F6700" w:rsidRPr="009F6700" w:rsidRDefault="009F6700" w:rsidP="009F6700">
                              <w:pPr>
                                <w:jc w:val="center"/>
                                <w:rPr>
                                  <w:rFonts w:ascii="Times" w:eastAsia="Times New Roman" w:hAnsi="Times" w:cs="Times New Roman"/>
                                  <w:sz w:val="20"/>
                                  <w:szCs w:val="20"/>
                                </w:rPr>
                              </w:pPr>
                              <w:r>
                                <w:rPr>
                                  <w:rFonts w:ascii="Times" w:eastAsia="Times New Roman" w:hAnsi="Times" w:cs="Times New Roman"/>
                                  <w:sz w:val="20"/>
                                  <w:szCs w:val="20"/>
                                </w:rPr>
                                <w:t>Figure 35.45 (a) &amp; (b)</w:t>
                              </w:r>
                              <w:bookmarkStart w:id="0" w:name="_GoBack"/>
                              <w:bookmarkEnd w:id="0"/>
                            </w:p>
                          </w:tc>
                        </w:tr>
                      </w:tbl>
                      <w:p w14:paraId="6322303B" w14:textId="77777777" w:rsidR="009F6700" w:rsidRPr="009F6700" w:rsidRDefault="009F6700" w:rsidP="009F6700">
                        <w:pPr>
                          <w:rPr>
                            <w:rFonts w:ascii="Times" w:eastAsia="Times New Roman" w:hAnsi="Times" w:cs="Times New Roman"/>
                            <w:sz w:val="20"/>
                            <w:szCs w:val="20"/>
                          </w:rPr>
                        </w:pPr>
                      </w:p>
                    </w:tc>
                  </w:tr>
                </w:tbl>
                <w:p w14:paraId="0FED706E" w14:textId="77777777" w:rsidR="009F6700" w:rsidRPr="009F6700" w:rsidRDefault="009F6700" w:rsidP="009F6700">
                  <w:pPr>
                    <w:jc w:val="center"/>
                    <w:rPr>
                      <w:rFonts w:ascii="Times" w:eastAsia="Times New Roman" w:hAnsi="Times" w:cs="Times New Roman"/>
                      <w:sz w:val="20"/>
                      <w:szCs w:val="20"/>
                    </w:rPr>
                  </w:pPr>
                </w:p>
              </w:tc>
            </w:tr>
          </w:tbl>
          <w:p w14:paraId="26CE9D5C" w14:textId="77777777" w:rsidR="009F6700" w:rsidRPr="009F6700" w:rsidRDefault="009F6700" w:rsidP="009F6700">
            <w:pPr>
              <w:rPr>
                <w:rFonts w:ascii="Times" w:eastAsia="Times New Roman" w:hAnsi="Times" w:cs="Times New Roman"/>
                <w:sz w:val="20"/>
                <w:szCs w:val="20"/>
              </w:rPr>
            </w:pPr>
          </w:p>
        </w:tc>
      </w:tr>
    </w:tbl>
    <w:p w14:paraId="0D0718CB" w14:textId="77777777" w:rsidR="009F6700" w:rsidRPr="00611254" w:rsidRDefault="009F6700" w:rsidP="00611254">
      <w:pPr>
        <w:pStyle w:val="Default"/>
        <w:rPr>
          <w:rFonts w:ascii="Times" w:hAnsi="Times"/>
        </w:rPr>
      </w:pPr>
    </w:p>
    <w:p w14:paraId="644EC922" w14:textId="77777777" w:rsidR="00611254" w:rsidRPr="00611254" w:rsidRDefault="00611254" w:rsidP="00611254">
      <w:pPr>
        <w:pStyle w:val="Default"/>
        <w:rPr>
          <w:rFonts w:ascii="Times" w:hAnsi="Times"/>
        </w:rPr>
      </w:pPr>
    </w:p>
    <w:p w14:paraId="3D870FB1" w14:textId="77777777" w:rsidR="00810129" w:rsidRDefault="00810129"/>
    <w:sectPr w:rsidR="00810129" w:rsidSect="00DA1DEC">
      <w:pgSz w:w="12240" w:h="16340"/>
      <w:pgMar w:top="1882" w:right="1118" w:bottom="1440" w:left="12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altName w:val="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54"/>
    <w:rsid w:val="00611254"/>
    <w:rsid w:val="00810129"/>
    <w:rsid w:val="009F6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0EF8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1254"/>
    <w:pPr>
      <w:widowControl w:val="0"/>
      <w:autoSpaceDE w:val="0"/>
      <w:autoSpaceDN w:val="0"/>
      <w:adjustRightInd w:val="0"/>
    </w:pPr>
    <w:rPr>
      <w:rFonts w:ascii="Calibri" w:hAnsi="Calibri" w:cs="Calibri"/>
      <w:color w:val="000000"/>
    </w:rPr>
  </w:style>
  <w:style w:type="character" w:styleId="PlaceholderText">
    <w:name w:val="Placeholder Text"/>
    <w:basedOn w:val="DefaultParagraphFont"/>
    <w:uiPriority w:val="99"/>
    <w:semiHidden/>
    <w:rsid w:val="00611254"/>
    <w:rPr>
      <w:color w:val="808080"/>
    </w:rPr>
  </w:style>
  <w:style w:type="paragraph" w:styleId="BalloonText">
    <w:name w:val="Balloon Text"/>
    <w:basedOn w:val="Normal"/>
    <w:link w:val="BalloonTextChar"/>
    <w:uiPriority w:val="99"/>
    <w:semiHidden/>
    <w:unhideWhenUsed/>
    <w:rsid w:val="006112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25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1254"/>
    <w:pPr>
      <w:widowControl w:val="0"/>
      <w:autoSpaceDE w:val="0"/>
      <w:autoSpaceDN w:val="0"/>
      <w:adjustRightInd w:val="0"/>
    </w:pPr>
    <w:rPr>
      <w:rFonts w:ascii="Calibri" w:hAnsi="Calibri" w:cs="Calibri"/>
      <w:color w:val="000000"/>
    </w:rPr>
  </w:style>
  <w:style w:type="character" w:styleId="PlaceholderText">
    <w:name w:val="Placeholder Text"/>
    <w:basedOn w:val="DefaultParagraphFont"/>
    <w:uiPriority w:val="99"/>
    <w:semiHidden/>
    <w:rsid w:val="00611254"/>
    <w:rPr>
      <w:color w:val="808080"/>
    </w:rPr>
  </w:style>
  <w:style w:type="paragraph" w:styleId="BalloonText">
    <w:name w:val="Balloon Text"/>
    <w:basedOn w:val="Normal"/>
    <w:link w:val="BalloonTextChar"/>
    <w:uiPriority w:val="99"/>
    <w:semiHidden/>
    <w:unhideWhenUsed/>
    <w:rsid w:val="006112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2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7055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222</Words>
  <Characters>1268</Characters>
  <Application>Microsoft Macintosh Word</Application>
  <DocSecurity>0</DocSecurity>
  <Lines>10</Lines>
  <Paragraphs>2</Paragraphs>
  <ScaleCrop>false</ScaleCrop>
  <Company>indiana university</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andersen</dc:creator>
  <cp:keywords/>
  <dc:description/>
  <cp:lastModifiedBy>brian andersen</cp:lastModifiedBy>
  <cp:revision>2</cp:revision>
  <dcterms:created xsi:type="dcterms:W3CDTF">2013-04-12T21:29:00Z</dcterms:created>
  <dcterms:modified xsi:type="dcterms:W3CDTF">2013-04-12T21:40:00Z</dcterms:modified>
</cp:coreProperties>
</file>